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D1" w:rsidRDefault="00494D53" w:rsidP="00494D53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48"/>
          <w:szCs w:val="48"/>
        </w:rPr>
      </w:pPr>
      <w:r>
        <w:rPr>
          <w:rFonts w:ascii="AdvPSA336" w:hAnsi="AdvPSA336" w:cs="AdvPSA336"/>
          <w:sz w:val="48"/>
          <w:szCs w:val="48"/>
        </w:rPr>
        <w:t xml:space="preserve">Treatment of the Crooked Nose Using </w:t>
      </w:r>
      <w:r w:rsidR="00FD7CB1">
        <w:rPr>
          <w:rFonts w:ascii="AdvPSA336" w:hAnsi="AdvPSA336" w:cs="AdvPSA336"/>
          <w:sz w:val="48"/>
          <w:szCs w:val="48"/>
        </w:rPr>
        <w:t xml:space="preserve">Structural </w:t>
      </w:r>
      <w:r>
        <w:rPr>
          <w:rFonts w:ascii="AdvPSA336" w:hAnsi="AdvPSA336" w:cs="AdvPSA336"/>
          <w:sz w:val="48"/>
          <w:szCs w:val="48"/>
        </w:rPr>
        <w:t>Preservation Rhinoplasty</w:t>
      </w:r>
    </w:p>
    <w:p w:rsidR="006A4DC1" w:rsidRDefault="006A4DC1" w:rsidP="00494D53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48"/>
          <w:szCs w:val="48"/>
        </w:rPr>
      </w:pPr>
    </w:p>
    <w:p w:rsidR="006A4DC1" w:rsidRPr="006A4DC1" w:rsidRDefault="006A4DC1" w:rsidP="006A4DC1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32"/>
          <w:szCs w:val="32"/>
        </w:rPr>
      </w:pPr>
      <w:bookmarkStart w:id="0" w:name="_GoBack"/>
      <w:proofErr w:type="spellStart"/>
      <w:r w:rsidRPr="006A4DC1">
        <w:rPr>
          <w:rFonts w:ascii="AdvPSA336" w:hAnsi="AdvPSA336" w:cs="AdvPSA336"/>
          <w:sz w:val="32"/>
          <w:szCs w:val="32"/>
        </w:rPr>
        <w:t>Dr</w:t>
      </w:r>
      <w:proofErr w:type="spellEnd"/>
      <w:r w:rsidRPr="006A4DC1">
        <w:rPr>
          <w:rFonts w:ascii="AdvPSA336" w:hAnsi="AdvPSA336" w:cs="AdvPSA336"/>
          <w:sz w:val="32"/>
          <w:szCs w:val="32"/>
        </w:rPr>
        <w:t xml:space="preserve"> </w:t>
      </w:r>
      <w:proofErr w:type="spellStart"/>
      <w:r w:rsidRPr="006A4DC1">
        <w:rPr>
          <w:rFonts w:ascii="AdvPSA336" w:hAnsi="AdvPSA336" w:cs="AdvPSA336"/>
          <w:sz w:val="32"/>
          <w:szCs w:val="32"/>
        </w:rPr>
        <w:t>kurdo</w:t>
      </w:r>
      <w:proofErr w:type="spellEnd"/>
      <w:r w:rsidRPr="006A4DC1">
        <w:rPr>
          <w:rFonts w:ascii="AdvPSA336" w:hAnsi="AdvPSA336" w:cs="AdvPSA336"/>
          <w:sz w:val="32"/>
          <w:szCs w:val="32"/>
        </w:rPr>
        <w:t xml:space="preserve"> </w:t>
      </w:r>
      <w:proofErr w:type="spellStart"/>
      <w:r w:rsidRPr="006A4DC1">
        <w:rPr>
          <w:rFonts w:ascii="AdvPSA336" w:hAnsi="AdvPSA336" w:cs="AdvPSA336"/>
          <w:sz w:val="32"/>
          <w:szCs w:val="32"/>
        </w:rPr>
        <w:t>Akram</w:t>
      </w:r>
      <w:proofErr w:type="spellEnd"/>
      <w:r w:rsidRPr="006A4DC1">
        <w:rPr>
          <w:rFonts w:ascii="AdvPSA336" w:hAnsi="AdvPSA336" w:cs="AdvPSA336"/>
          <w:sz w:val="32"/>
          <w:szCs w:val="32"/>
        </w:rPr>
        <w:t xml:space="preserve"> </w:t>
      </w:r>
      <w:proofErr w:type="spellStart"/>
      <w:r w:rsidRPr="006A4DC1">
        <w:rPr>
          <w:rFonts w:ascii="AdvPSA336" w:hAnsi="AdvPSA336" w:cs="AdvPSA336"/>
          <w:sz w:val="32"/>
          <w:szCs w:val="32"/>
        </w:rPr>
        <w:t>Qradaghy</w:t>
      </w:r>
      <w:proofErr w:type="spellEnd"/>
      <w:r w:rsidRPr="006A4DC1">
        <w:rPr>
          <w:rFonts w:ascii="AdvPSA336" w:hAnsi="AdvPSA336" w:cs="AdvPSA336"/>
          <w:sz w:val="32"/>
          <w:szCs w:val="32"/>
        </w:rPr>
        <w:t>. Consultant and Assistant professor</w:t>
      </w:r>
    </w:p>
    <w:bookmarkEnd w:id="0"/>
    <w:p w:rsidR="00494D53" w:rsidRDefault="00494D53" w:rsidP="00494D53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48"/>
          <w:szCs w:val="48"/>
        </w:rPr>
      </w:pPr>
    </w:p>
    <w:p w:rsidR="00494D53" w:rsidRDefault="00494D53" w:rsidP="00494D53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19"/>
          <w:szCs w:val="19"/>
        </w:rPr>
      </w:pPr>
      <w:r>
        <w:rPr>
          <w:rFonts w:ascii="AdvPSA336" w:hAnsi="AdvPSA336" w:cs="AdvPSA336"/>
          <w:sz w:val="19"/>
          <w:szCs w:val="19"/>
        </w:rPr>
        <w:t>INTRODUCTION</w:t>
      </w:r>
    </w:p>
    <w:p w:rsidR="00494D53" w:rsidRDefault="00494D53" w:rsidP="00494D53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The crooked nose is a challenging esthetic and functional problem. The term “crooked nose,” also</w:t>
      </w:r>
    </w:p>
    <w:p w:rsidR="00494D53" w:rsidRDefault="00494D53" w:rsidP="00494D53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referred to as the twisted, deviated, or asymmetric nose, has come to represent deviations of the nasal</w:t>
      </w:r>
    </w:p>
    <w:p w:rsidR="00494D53" w:rsidRDefault="00494D53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 xml:space="preserve">dorsum and pyramid from the facial </w:t>
      </w:r>
      <w:r w:rsidR="000954EA">
        <w:rPr>
          <w:rFonts w:ascii="AdvPSA183" w:hAnsi="AdvPSA183" w:cs="AdvPSA183"/>
          <w:sz w:val="18"/>
          <w:szCs w:val="18"/>
        </w:rPr>
        <w:t xml:space="preserve">midline 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While deviations can be congenital, they can also be the result of trauma and surgical interventions gone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 xml:space="preserve">awry. 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In addition to the displeasing appearance, significant nasal airway compromise can result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 xml:space="preserve">from nasal deviation. 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Correction must focus on a balance of esthetics and function, with the most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successful outcomes tailored to addressing each of the deviated components in kind.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 w:rsidRPr="00FD4ED7">
        <w:rPr>
          <w:rFonts w:ascii="AdvPSA336" w:hAnsi="AdvPSA336" w:cs="AdvPSA336"/>
          <w:sz w:val="48"/>
          <w:szCs w:val="48"/>
        </w:rPr>
        <w:t>HISTORY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48"/>
          <w:szCs w:val="48"/>
        </w:rPr>
      </w:pPr>
      <w:r w:rsidRPr="00FD4ED7">
        <w:rPr>
          <w:rFonts w:ascii="AdvPSA336" w:hAnsi="AdvPSA336" w:cs="AdvPSA336"/>
          <w:sz w:val="48"/>
          <w:szCs w:val="48"/>
        </w:rPr>
        <w:t>BACKGROUND ASSESSMENT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begin with a thorough history. Particular areas of focus for the crooked nose include history of trauma, prior surgeries,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48"/>
          <w:szCs w:val="48"/>
        </w:rPr>
      </w:pPr>
      <w:r>
        <w:rPr>
          <w:rFonts w:ascii="AdvPSA183" w:hAnsi="AdvPSA183" w:cs="AdvPSA183"/>
          <w:sz w:val="18"/>
          <w:szCs w:val="18"/>
        </w:rPr>
        <w:t>and any functional concerns including nasal</w:t>
      </w:r>
      <w:r>
        <w:rPr>
          <w:rFonts w:ascii="AdvPSA336" w:hAnsi="AdvPSA336" w:cs="AdvPSA336"/>
          <w:sz w:val="48"/>
          <w:szCs w:val="48"/>
        </w:rPr>
        <w:t xml:space="preserve"> </w:t>
      </w:r>
      <w:r>
        <w:rPr>
          <w:rFonts w:ascii="AdvPSA183" w:hAnsi="AdvPSA183" w:cs="AdvPSA183"/>
          <w:sz w:val="18"/>
          <w:szCs w:val="18"/>
        </w:rPr>
        <w:t>congestion and/or obstruction.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 xml:space="preserve">Thorough </w:t>
      </w:r>
      <w:r w:rsidR="006534F9" w:rsidRPr="00FD4ED7">
        <w:rPr>
          <w:rFonts w:ascii="AdvPSA183" w:hAnsi="AdvPSA183" w:cs="AdvPSA183"/>
          <w:sz w:val="18"/>
          <w:szCs w:val="18"/>
        </w:rPr>
        <w:t>examination of</w:t>
      </w:r>
      <w:r>
        <w:rPr>
          <w:rFonts w:ascii="AdvPSA183" w:hAnsi="AdvPSA183" w:cs="AdvPSA183"/>
          <w:sz w:val="18"/>
          <w:szCs w:val="18"/>
        </w:rPr>
        <w:t xml:space="preserve"> the external lining or skin envelope, the nasal skeleton or bony-cartilaginous framework, and the mucosa</w:t>
      </w:r>
    </w:p>
    <w:p w:rsidR="00FD4ED7" w:rsidRDefault="00FD4ED7" w:rsidP="006534F9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 xml:space="preserve">evaluation of the nasal airway must be documented. This includes evaluation of the septum, internal valve, and any lateral wall </w:t>
      </w:r>
      <w:r w:rsidR="006534F9">
        <w:rPr>
          <w:rFonts w:ascii="AdvPSA183" w:hAnsi="AdvPSA183" w:cs="AdvPSA183"/>
          <w:sz w:val="18"/>
          <w:szCs w:val="18"/>
        </w:rPr>
        <w:t xml:space="preserve">insufficiency. Furthermore, </w:t>
      </w:r>
      <w:proofErr w:type="gramStart"/>
      <w:r w:rsidR="006534F9">
        <w:rPr>
          <w:rFonts w:ascii="AdvPSA183" w:hAnsi="AdvPSA183" w:cs="AdvPSA183"/>
          <w:sz w:val="18"/>
          <w:szCs w:val="18"/>
        </w:rPr>
        <w:t>A</w:t>
      </w:r>
      <w:proofErr w:type="gramEnd"/>
      <w:r w:rsidR="006534F9">
        <w:rPr>
          <w:rFonts w:ascii="AdvPSA183" w:hAnsi="AdvPSA183" w:cs="AdvPSA183"/>
          <w:sz w:val="18"/>
          <w:szCs w:val="18"/>
        </w:rPr>
        <w:t xml:space="preserve"> recommended PROM </w:t>
      </w:r>
      <w:r>
        <w:rPr>
          <w:rFonts w:ascii="AdvPSA183" w:hAnsi="AdvPSA183" w:cs="AdvPSA183"/>
          <w:sz w:val="18"/>
          <w:szCs w:val="18"/>
        </w:rPr>
        <w:t>is the Standardized</w:t>
      </w:r>
      <w:r w:rsidR="006534F9">
        <w:rPr>
          <w:rFonts w:ascii="AdvPSA183" w:hAnsi="AdvPSA183" w:cs="AdvPSA183"/>
          <w:sz w:val="18"/>
          <w:szCs w:val="18"/>
        </w:rPr>
        <w:t xml:space="preserve"> Cosmesis Health Nasal Outcomes </w:t>
      </w:r>
      <w:r>
        <w:rPr>
          <w:rFonts w:ascii="AdvPSA183" w:hAnsi="AdvPSA183" w:cs="AdvPSA183"/>
          <w:sz w:val="18"/>
          <w:szCs w:val="18"/>
        </w:rPr>
        <w:t>Survey (SCHNOS)</w:t>
      </w:r>
      <w:r w:rsidR="006534F9">
        <w:rPr>
          <w:rFonts w:ascii="AdvPSA183" w:hAnsi="AdvPSA183" w:cs="AdvPSA183"/>
          <w:sz w:val="18"/>
          <w:szCs w:val="18"/>
        </w:rPr>
        <w:t xml:space="preserve"> as it captures both functional </w:t>
      </w:r>
      <w:r>
        <w:rPr>
          <w:rFonts w:ascii="AdvPSA183" w:hAnsi="AdvPSA183" w:cs="AdvPSA183"/>
          <w:sz w:val="18"/>
          <w:szCs w:val="18"/>
        </w:rPr>
        <w:t>and cosmetic domains</w:t>
      </w:r>
    </w:p>
    <w:p w:rsidR="006534F9" w:rsidRDefault="006534F9" w:rsidP="006534F9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6534F9" w:rsidRDefault="006534F9" w:rsidP="006534F9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Occult midface asymmetry (OMA) is a common contributor to the appearance</w:t>
      </w:r>
    </w:p>
    <w:p w:rsidR="006534F9" w:rsidRDefault="006534F9" w:rsidP="006534F9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of nasal deviation, and this must be identified and discussed with the patient as surgical corrections</w:t>
      </w:r>
    </w:p>
    <w:p w:rsidR="006534F9" w:rsidRPr="00FD4ED7" w:rsidRDefault="006534F9" w:rsidP="006534F9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to the nose will not address the OMA</w:t>
      </w:r>
    </w:p>
    <w:p w:rsidR="00FD4ED7" w:rsidRDefault="00FD4ED7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6534F9" w:rsidRDefault="006534F9" w:rsidP="00FD4ED7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48"/>
          <w:szCs w:val="48"/>
        </w:rPr>
      </w:pPr>
      <w:r w:rsidRPr="006534F9">
        <w:rPr>
          <w:rFonts w:ascii="AdvPSA336" w:hAnsi="AdvPSA336" w:cs="AdvPSA336"/>
          <w:sz w:val="48"/>
          <w:szCs w:val="48"/>
        </w:rPr>
        <w:t>DISCUSSION: SURGICAL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7EFD" w:rsidTr="00B465C2">
        <w:tc>
          <w:tcPr>
            <w:tcW w:w="9350" w:type="dxa"/>
            <w:gridSpan w:val="2"/>
          </w:tcPr>
          <w:p w:rsidR="00AC7EFD" w:rsidRDefault="00AC7EFD" w:rsidP="00FD4ED7">
            <w:pPr>
              <w:autoSpaceDE w:val="0"/>
              <w:autoSpaceDN w:val="0"/>
              <w:adjustRightInd w:val="0"/>
              <w:rPr>
                <w:rFonts w:ascii="AdvPSA336" w:hAnsi="AdvPSA336" w:cs="AdvPSA336"/>
                <w:sz w:val="48"/>
                <w:szCs w:val="48"/>
              </w:rPr>
            </w:pPr>
            <w:r>
              <w:rPr>
                <w:rFonts w:ascii="AdvPSA336" w:hAnsi="AdvPSA336" w:cs="AdvPSA336"/>
                <w:sz w:val="17"/>
                <w:szCs w:val="17"/>
              </w:rPr>
              <w:t>Components of the nasal evaluation and associated surgical methods for correction</w:t>
            </w:r>
          </w:p>
        </w:tc>
      </w:tr>
      <w:tr w:rsidR="00AC7EFD" w:rsidTr="004079F5">
        <w:tc>
          <w:tcPr>
            <w:tcW w:w="9350" w:type="dxa"/>
            <w:gridSpan w:val="2"/>
          </w:tcPr>
          <w:p w:rsidR="00AC7EFD" w:rsidRDefault="00AC7EFD" w:rsidP="00FD4ED7">
            <w:pPr>
              <w:autoSpaceDE w:val="0"/>
              <w:autoSpaceDN w:val="0"/>
              <w:adjustRightInd w:val="0"/>
              <w:rPr>
                <w:rFonts w:ascii="AdvPSA336" w:hAnsi="AdvPSA336" w:cs="AdvPSA336"/>
                <w:sz w:val="48"/>
                <w:szCs w:val="48"/>
              </w:rPr>
            </w:pPr>
            <w:r>
              <w:rPr>
                <w:rFonts w:ascii="AdvPSA336" w:hAnsi="AdvPSA336" w:cs="AdvPSA336"/>
                <w:sz w:val="17"/>
                <w:szCs w:val="17"/>
              </w:rPr>
              <w:t>Nasal Component</w:t>
            </w:r>
            <w:r>
              <w:rPr>
                <w:rFonts w:ascii="AdvPSA336" w:hAnsi="AdvPSA336" w:cs="AdvPSA336"/>
                <w:sz w:val="48"/>
                <w:szCs w:val="48"/>
              </w:rPr>
              <w:t xml:space="preserve">                          </w:t>
            </w:r>
            <w:r>
              <w:rPr>
                <w:rFonts w:ascii="AdvPSA336" w:hAnsi="AdvPSA336" w:cs="AdvPSA336"/>
                <w:sz w:val="17"/>
                <w:szCs w:val="17"/>
              </w:rPr>
              <w:t>Surgical Method</w:t>
            </w:r>
          </w:p>
        </w:tc>
      </w:tr>
      <w:tr w:rsidR="00AC7EFD" w:rsidTr="00AC7EFD">
        <w:tc>
          <w:tcPr>
            <w:tcW w:w="4675" w:type="dxa"/>
          </w:tcPr>
          <w:p w:rsidR="00AC7EFD" w:rsidRDefault="00AC7EFD" w:rsidP="00FD4ED7">
            <w:pPr>
              <w:autoSpaceDE w:val="0"/>
              <w:autoSpaceDN w:val="0"/>
              <w:adjustRightInd w:val="0"/>
              <w:rPr>
                <w:rFonts w:ascii="AdvPSA336" w:hAnsi="AdvPSA336" w:cs="AdvPSA336"/>
                <w:sz w:val="48"/>
                <w:szCs w:val="48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Upper Third</w:t>
            </w:r>
          </w:p>
        </w:tc>
        <w:tc>
          <w:tcPr>
            <w:tcW w:w="4675" w:type="dxa"/>
          </w:tcPr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Osteotomies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Dorsal preservation (letdown, pushdown)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6" w:hAnsi="AdvPSA336" w:cs="AdvPSA336"/>
                <w:sz w:val="48"/>
                <w:szCs w:val="48"/>
              </w:rPr>
            </w:pPr>
            <w:proofErr w:type="spellStart"/>
            <w:r>
              <w:rPr>
                <w:rFonts w:ascii="AdvPSA334" w:hAnsi="AdvPSA334" w:cs="AdvPSA334"/>
                <w:sz w:val="17"/>
                <w:szCs w:val="17"/>
              </w:rPr>
              <w:t>Onlay</w:t>
            </w:r>
            <w:proofErr w:type="spellEnd"/>
            <w:r>
              <w:rPr>
                <w:rFonts w:ascii="AdvPSA334" w:hAnsi="AdvPSA334" w:cs="AdvPSA334"/>
                <w:sz w:val="17"/>
                <w:szCs w:val="17"/>
              </w:rPr>
              <w:t xml:space="preserve"> grafts</w:t>
            </w:r>
          </w:p>
        </w:tc>
      </w:tr>
      <w:tr w:rsidR="00AC7EFD" w:rsidTr="00AC7EFD">
        <w:tc>
          <w:tcPr>
            <w:tcW w:w="4675" w:type="dxa"/>
          </w:tcPr>
          <w:p w:rsidR="00AC7EFD" w:rsidRDefault="00AC7EFD" w:rsidP="00FD4ED7">
            <w:pPr>
              <w:autoSpaceDE w:val="0"/>
              <w:autoSpaceDN w:val="0"/>
              <w:adjustRightInd w:val="0"/>
              <w:rPr>
                <w:rFonts w:ascii="AdvPSA336" w:hAnsi="AdvPSA336" w:cs="AdvPSA336"/>
                <w:sz w:val="48"/>
                <w:szCs w:val="48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Middle Third</w:t>
            </w:r>
          </w:p>
        </w:tc>
        <w:tc>
          <w:tcPr>
            <w:tcW w:w="4675" w:type="dxa"/>
          </w:tcPr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Upper lateral cartilage fibrous attachment release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Spreader grafts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Extended spreader grafts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Septal extension graft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Clocking or septal rotation stitch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6" w:hAnsi="AdvPSA336" w:cs="AdvPSA336"/>
                <w:sz w:val="48"/>
                <w:szCs w:val="48"/>
              </w:rPr>
            </w:pPr>
            <w:proofErr w:type="spellStart"/>
            <w:r>
              <w:rPr>
                <w:rFonts w:ascii="AdvPSA334" w:hAnsi="AdvPSA334" w:cs="AdvPSA334"/>
                <w:sz w:val="17"/>
                <w:szCs w:val="17"/>
              </w:rPr>
              <w:t>Onlay</w:t>
            </w:r>
            <w:proofErr w:type="spellEnd"/>
            <w:r>
              <w:rPr>
                <w:rFonts w:ascii="AdvPSA334" w:hAnsi="AdvPSA334" w:cs="AdvPSA334"/>
                <w:sz w:val="17"/>
                <w:szCs w:val="17"/>
              </w:rPr>
              <w:t xml:space="preserve"> grafts</w:t>
            </w:r>
          </w:p>
        </w:tc>
      </w:tr>
      <w:tr w:rsidR="00AC7EFD" w:rsidTr="00AC7EFD">
        <w:tc>
          <w:tcPr>
            <w:tcW w:w="4675" w:type="dxa"/>
          </w:tcPr>
          <w:p w:rsidR="00AC7EFD" w:rsidRDefault="00AC7EFD" w:rsidP="00FD4ED7">
            <w:pPr>
              <w:autoSpaceDE w:val="0"/>
              <w:autoSpaceDN w:val="0"/>
              <w:adjustRightInd w:val="0"/>
              <w:rPr>
                <w:rFonts w:ascii="AdvPSA336" w:hAnsi="AdvPSA336" w:cs="AdvPSA336"/>
                <w:sz w:val="48"/>
                <w:szCs w:val="48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Lower Third</w:t>
            </w:r>
          </w:p>
        </w:tc>
        <w:tc>
          <w:tcPr>
            <w:tcW w:w="4675" w:type="dxa"/>
          </w:tcPr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Internal cartilage tension release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proofErr w:type="spellStart"/>
            <w:r>
              <w:rPr>
                <w:rFonts w:ascii="AdvPSA334" w:hAnsi="AdvPSA334" w:cs="AdvPSA334"/>
                <w:sz w:val="17"/>
                <w:szCs w:val="17"/>
              </w:rPr>
              <w:t>Septoplasty</w:t>
            </w:r>
            <w:proofErr w:type="spellEnd"/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 xml:space="preserve">Full extracorporeal </w:t>
            </w:r>
            <w:proofErr w:type="spellStart"/>
            <w:r>
              <w:rPr>
                <w:rFonts w:ascii="AdvPSA334" w:hAnsi="AdvPSA334" w:cs="AdvPSA334"/>
                <w:sz w:val="17"/>
                <w:szCs w:val="17"/>
              </w:rPr>
              <w:t>septoplasty</w:t>
            </w:r>
            <w:proofErr w:type="spellEnd"/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Anterior septal reconstruction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Septal extension graft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Anterior nasal spine cartilage release and trim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proofErr w:type="spellStart"/>
            <w:r>
              <w:rPr>
                <w:rFonts w:ascii="AdvPSA334" w:hAnsi="AdvPSA334" w:cs="AdvPSA334"/>
                <w:sz w:val="17"/>
                <w:szCs w:val="17"/>
              </w:rPr>
              <w:lastRenderedPageBreak/>
              <w:t>Columellar</w:t>
            </w:r>
            <w:proofErr w:type="spellEnd"/>
            <w:r>
              <w:rPr>
                <w:rFonts w:ascii="AdvPSA334" w:hAnsi="AdvPSA334" w:cs="AdvPSA334"/>
                <w:sz w:val="17"/>
                <w:szCs w:val="17"/>
              </w:rPr>
              <w:t xml:space="preserve"> strut graft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4" w:hAnsi="AdvPSA334" w:cs="AdvPSA334"/>
                <w:sz w:val="17"/>
                <w:szCs w:val="17"/>
              </w:rPr>
            </w:pPr>
            <w:r>
              <w:rPr>
                <w:rFonts w:ascii="AdvPSA334" w:hAnsi="AdvPSA334" w:cs="AdvPSA334"/>
                <w:sz w:val="17"/>
                <w:szCs w:val="17"/>
              </w:rPr>
              <w:t>Augmentation of nasal base</w:t>
            </w:r>
          </w:p>
          <w:p w:rsidR="00AC7EFD" w:rsidRDefault="00AC7EFD" w:rsidP="00AC7EFD">
            <w:pPr>
              <w:autoSpaceDE w:val="0"/>
              <w:autoSpaceDN w:val="0"/>
              <w:adjustRightInd w:val="0"/>
              <w:rPr>
                <w:rFonts w:ascii="AdvPSA336" w:hAnsi="AdvPSA336" w:cs="AdvPSA336"/>
                <w:sz w:val="48"/>
                <w:szCs w:val="48"/>
              </w:rPr>
            </w:pPr>
            <w:proofErr w:type="spellStart"/>
            <w:r>
              <w:rPr>
                <w:rFonts w:ascii="AdvPSA334" w:hAnsi="AdvPSA334" w:cs="AdvPSA334"/>
                <w:sz w:val="17"/>
                <w:szCs w:val="17"/>
              </w:rPr>
              <w:t>Onlay</w:t>
            </w:r>
            <w:proofErr w:type="spellEnd"/>
            <w:r>
              <w:rPr>
                <w:rFonts w:ascii="AdvPSA334" w:hAnsi="AdvPSA334" w:cs="AdvPSA334"/>
                <w:sz w:val="17"/>
                <w:szCs w:val="17"/>
              </w:rPr>
              <w:t xml:space="preserve"> grafts</w:t>
            </w:r>
          </w:p>
        </w:tc>
      </w:tr>
    </w:tbl>
    <w:p w:rsidR="00F21A2C" w:rsidRDefault="00F21A2C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F21A2C" w:rsidRDefault="00F21A2C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6534F9" w:rsidRDefault="00AC7EFD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 w:rsidRPr="00F21A2C">
        <w:rPr>
          <w:rFonts w:ascii="AdvPSA183" w:hAnsi="AdvPSA183" w:cs="AdvPSA183"/>
          <w:sz w:val="18"/>
          <w:szCs w:val="18"/>
        </w:rPr>
        <w:t xml:space="preserve">To </w:t>
      </w:r>
      <w:r w:rsidR="00F21A2C" w:rsidRPr="00F21A2C">
        <w:rPr>
          <w:rFonts w:ascii="AdvPSA183" w:hAnsi="AdvPSA183" w:cs="AdvPSA183"/>
          <w:sz w:val="18"/>
          <w:szCs w:val="18"/>
        </w:rPr>
        <w:t xml:space="preserve">simplify these </w:t>
      </w:r>
      <w:proofErr w:type="spellStart"/>
      <w:r w:rsidR="00F21A2C" w:rsidRPr="00F21A2C">
        <w:rPr>
          <w:rFonts w:ascii="AdvPSA183" w:hAnsi="AdvPSA183" w:cs="AdvPSA183"/>
          <w:sz w:val="18"/>
          <w:szCs w:val="18"/>
        </w:rPr>
        <w:t>c</w:t>
      </w:r>
      <w:r w:rsidR="00F21A2C">
        <w:rPr>
          <w:rFonts w:ascii="AdvPSA183" w:hAnsi="AdvPSA183" w:cs="AdvPSA183"/>
          <w:sz w:val="18"/>
          <w:szCs w:val="18"/>
        </w:rPr>
        <w:t>ht</w:t>
      </w:r>
      <w:proofErr w:type="spellEnd"/>
      <w:r w:rsidR="00F21A2C">
        <w:rPr>
          <w:rFonts w:ascii="AdvPSA183" w:hAnsi="AdvPSA183" w:cs="AdvPSA183"/>
          <w:sz w:val="18"/>
          <w:szCs w:val="18"/>
        </w:rPr>
        <w:t xml:space="preserve"> </w:t>
      </w:r>
      <w:proofErr w:type="spellStart"/>
      <w:r w:rsidR="00F21A2C" w:rsidRPr="00F21A2C">
        <w:rPr>
          <w:rFonts w:ascii="AdvPSA183" w:hAnsi="AdvPSA183" w:cs="AdvPSA183"/>
          <w:sz w:val="18"/>
          <w:szCs w:val="18"/>
        </w:rPr>
        <w:t>omplex</w:t>
      </w:r>
      <w:proofErr w:type="spellEnd"/>
      <w:r w:rsidR="00F21A2C" w:rsidRPr="00F21A2C">
        <w:rPr>
          <w:rFonts w:ascii="AdvPSA183" w:hAnsi="AdvPSA183" w:cs="AdvPSA183"/>
          <w:sz w:val="18"/>
          <w:szCs w:val="18"/>
        </w:rPr>
        <w:t xml:space="preserve"> cases, we have to divided them into two types</w:t>
      </w:r>
    </w:p>
    <w:p w:rsidR="00F21A2C" w:rsidRDefault="00F21A2C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F21A2C" w:rsidRDefault="00F21A2C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>1-Straight deviation of the both bony and cartilaginous dorsum.</w:t>
      </w:r>
    </w:p>
    <w:p w:rsidR="00F21A2C" w:rsidRPr="00F21A2C" w:rsidRDefault="00F21A2C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>
        <w:rPr>
          <w:rFonts w:ascii="AdvPSA183" w:hAnsi="AdvPSA183" w:cs="AdvPSA183"/>
          <w:sz w:val="18"/>
          <w:szCs w:val="18"/>
        </w:rPr>
        <w:t xml:space="preserve">We </w:t>
      </w:r>
      <w:proofErr w:type="gramStart"/>
      <w:r>
        <w:rPr>
          <w:rFonts w:ascii="AdvPSA183" w:hAnsi="AdvPSA183" w:cs="AdvPSA183"/>
          <w:sz w:val="18"/>
          <w:szCs w:val="18"/>
        </w:rPr>
        <w:t>use  the</w:t>
      </w:r>
      <w:proofErr w:type="gramEnd"/>
      <w:r>
        <w:rPr>
          <w:rFonts w:ascii="AdvPSA183" w:hAnsi="AdvPSA183" w:cs="AdvPSA183"/>
          <w:sz w:val="18"/>
          <w:szCs w:val="18"/>
        </w:rPr>
        <w:t xml:space="preserve"> Pisa tower concept, one side of tower is larger and therefore the tower , the longer side should be shortened  </w:t>
      </w:r>
    </w:p>
    <w:p w:rsidR="00F21A2C" w:rsidRDefault="00F21A2C" w:rsidP="00FD4ED7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48"/>
          <w:szCs w:val="48"/>
        </w:rPr>
      </w:pPr>
    </w:p>
    <w:p w:rsidR="00F21A2C" w:rsidRDefault="00F21A2C" w:rsidP="00FD4ED7">
      <w:pPr>
        <w:autoSpaceDE w:val="0"/>
        <w:autoSpaceDN w:val="0"/>
        <w:adjustRightInd w:val="0"/>
        <w:spacing w:after="0" w:line="240" w:lineRule="auto"/>
        <w:rPr>
          <w:rFonts w:ascii="AdvPSA336" w:hAnsi="AdvPSA336" w:cs="AdvPSA336"/>
          <w:sz w:val="48"/>
          <w:szCs w:val="48"/>
        </w:rPr>
      </w:pPr>
      <w:r w:rsidRPr="00F21A2C">
        <w:rPr>
          <w:rFonts w:ascii="AdvPSA183" w:hAnsi="AdvPSA183" w:cs="AdvPSA183"/>
          <w:sz w:val="18"/>
          <w:szCs w:val="18"/>
        </w:rPr>
        <w:t>2-straight bony dorsum, deviated cartilaginous dorsum</w:t>
      </w:r>
      <w:r>
        <w:rPr>
          <w:rFonts w:ascii="AdvPSA336" w:hAnsi="AdvPSA336" w:cs="AdvPSA336"/>
          <w:sz w:val="48"/>
          <w:szCs w:val="48"/>
        </w:rPr>
        <w:t>.</w:t>
      </w:r>
    </w:p>
    <w:p w:rsidR="00F21A2C" w:rsidRPr="00FD7CB1" w:rsidRDefault="00F21A2C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 w:rsidRPr="00FD7CB1">
        <w:rPr>
          <w:rFonts w:ascii="AdvPSA183" w:hAnsi="AdvPSA183" w:cs="AdvPSA183"/>
          <w:sz w:val="18"/>
          <w:szCs w:val="18"/>
        </w:rPr>
        <w:t xml:space="preserve">The bony vault is relatively straight while the cartilaginous vault </w:t>
      </w:r>
      <w:proofErr w:type="spellStart"/>
      <w:r w:rsidRPr="00FD7CB1">
        <w:rPr>
          <w:rFonts w:ascii="AdvPSA183" w:hAnsi="AdvPSA183" w:cs="AdvPSA183"/>
          <w:sz w:val="18"/>
          <w:szCs w:val="18"/>
        </w:rPr>
        <w:t>apper</w:t>
      </w:r>
      <w:proofErr w:type="spellEnd"/>
      <w:r w:rsidRPr="00FD7CB1">
        <w:rPr>
          <w:rFonts w:ascii="AdvPSA183" w:hAnsi="AdvPSA183" w:cs="AdvPSA183"/>
          <w:sz w:val="18"/>
          <w:szCs w:val="18"/>
        </w:rPr>
        <w:t xml:space="preserve"> deviated. </w:t>
      </w:r>
      <w:r w:rsidR="00FD7CB1" w:rsidRPr="00FD7CB1">
        <w:rPr>
          <w:rFonts w:ascii="AdvPSA183" w:hAnsi="AdvPSA183" w:cs="AdvPSA183"/>
          <w:sz w:val="18"/>
          <w:szCs w:val="18"/>
        </w:rPr>
        <w:t xml:space="preserve">It will be clear that septum is deviated and ULCs are asymmetrically </w:t>
      </w:r>
      <w:proofErr w:type="gramStart"/>
      <w:r w:rsidR="00FD7CB1" w:rsidRPr="00FD7CB1">
        <w:rPr>
          <w:rFonts w:ascii="AdvPSA183" w:hAnsi="AdvPSA183" w:cs="AdvPSA183"/>
          <w:sz w:val="18"/>
          <w:szCs w:val="18"/>
        </w:rPr>
        <w:t>positioned  under</w:t>
      </w:r>
      <w:proofErr w:type="gramEnd"/>
      <w:r w:rsidR="00FD7CB1" w:rsidRPr="00FD7CB1">
        <w:rPr>
          <w:rFonts w:ascii="AdvPSA183" w:hAnsi="AdvPSA183" w:cs="AdvPSA183"/>
          <w:sz w:val="18"/>
          <w:szCs w:val="18"/>
        </w:rPr>
        <w:t xml:space="preserve"> LKA</w:t>
      </w:r>
    </w:p>
    <w:p w:rsidR="00FD7CB1" w:rsidRPr="00FD7CB1" w:rsidRDefault="00FD7CB1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FD7CB1" w:rsidRDefault="00FD7CB1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  <w:r w:rsidRPr="00FD7CB1">
        <w:rPr>
          <w:rFonts w:ascii="AdvPSA183" w:hAnsi="AdvPSA183" w:cs="AdvPSA183"/>
          <w:sz w:val="18"/>
          <w:szCs w:val="18"/>
        </w:rPr>
        <w:t xml:space="preserve">Treatment plane dissection of LKA on concave side slide caudally and </w:t>
      </w:r>
      <w:proofErr w:type="spellStart"/>
      <w:r w:rsidRPr="00FD7CB1">
        <w:rPr>
          <w:rFonts w:ascii="AdvPSA183" w:hAnsi="AdvPSA183" w:cs="AdvPSA183"/>
          <w:sz w:val="18"/>
          <w:szCs w:val="18"/>
        </w:rPr>
        <w:t>covex</w:t>
      </w:r>
      <w:proofErr w:type="spellEnd"/>
      <w:r w:rsidRPr="00FD7CB1">
        <w:rPr>
          <w:rFonts w:ascii="AdvPSA183" w:hAnsi="AdvPSA183" w:cs="AdvPSA183"/>
          <w:sz w:val="18"/>
          <w:szCs w:val="18"/>
        </w:rPr>
        <w:t xml:space="preserve"> side slide cephalically </w:t>
      </w:r>
    </w:p>
    <w:p w:rsidR="00761351" w:rsidRDefault="00761351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p w:rsidR="000954EA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dvPSA183" w:hAnsi="AdvPSA183" w:cs="AdvPSA183"/>
          <w:sz w:val="18"/>
          <w:szCs w:val="18"/>
        </w:rPr>
      </w:pPr>
      <w:r w:rsidRPr="000954EA">
        <w:rPr>
          <w:rFonts w:ascii="AdvPSA336" w:hAnsi="AdvPSA336" w:cs="AdvPSA336"/>
          <w:sz w:val="48"/>
          <w:szCs w:val="48"/>
        </w:rPr>
        <w:t>Conclusion</w:t>
      </w:r>
      <w:r>
        <w:rPr>
          <w:rFonts w:ascii="AdvPSA183" w:hAnsi="AdvPSA183" w:cs="AdvPSA183"/>
          <w:sz w:val="18"/>
          <w:szCs w:val="18"/>
        </w:rPr>
        <w:t xml:space="preserve"> 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dvPSA183" w:hAnsi="AdvPSA183" w:cs="AdvPSA183"/>
          <w:sz w:val="18"/>
          <w:szCs w:val="18"/>
        </w:rPr>
      </w:pPr>
      <w:r w:rsidRPr="00761351">
        <w:rPr>
          <w:rFonts w:ascii="AdvPSA183" w:hAnsi="AdvPSA183" w:cs="AdvPSA183"/>
          <w:sz w:val="18"/>
          <w:szCs w:val="18"/>
        </w:rPr>
        <w:t>We believe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rtl/>
          <w:lang w:bidi="ar-IQ"/>
        </w:rPr>
      </w:pPr>
      <w:r w:rsidRPr="00761351">
        <w:rPr>
          <w:rFonts w:ascii="AdvPSA183" w:hAnsi="AdvPSA183" w:cs="AdvPSA183"/>
          <w:sz w:val="18"/>
          <w:szCs w:val="18"/>
          <w:lang w:bidi="ar-IQ"/>
        </w:rPr>
        <w:t>the advantages of structural preservation rhinoplasty over the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rtl/>
          <w:lang w:bidi="ar-IQ"/>
        </w:rPr>
      </w:pPr>
      <w:r w:rsidRPr="00761351">
        <w:rPr>
          <w:rFonts w:ascii="AdvPSA183" w:hAnsi="AdvPSA183" w:cs="AdvPSA183"/>
          <w:sz w:val="18"/>
          <w:szCs w:val="18"/>
          <w:lang w:bidi="ar-IQ"/>
        </w:rPr>
        <w:t xml:space="preserve">Joseph method include the following: (1) preserving the favorable attributes of the nose on frontal view; 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rtl/>
          <w:lang w:bidi="ar-IQ"/>
        </w:rPr>
      </w:pPr>
      <w:r w:rsidRPr="00761351">
        <w:rPr>
          <w:rFonts w:ascii="AdvPSA183" w:hAnsi="AdvPSA183" w:cs="AdvPSA183"/>
          <w:sz w:val="18"/>
          <w:szCs w:val="18"/>
          <w:lang w:bidi="ar-IQ"/>
        </w:rPr>
        <w:t>(2) decreased need for spreader grafts and spreader flaps (no need for middle vault reconstruction);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rtl/>
          <w:lang w:bidi="ar-IQ"/>
        </w:rPr>
      </w:pPr>
      <w:r w:rsidRPr="00761351">
        <w:rPr>
          <w:rFonts w:ascii="AdvPSA183" w:hAnsi="AdvPSA183" w:cs="AdvPSA183"/>
          <w:sz w:val="18"/>
          <w:szCs w:val="18"/>
          <w:lang w:bidi="ar-IQ"/>
        </w:rPr>
        <w:t xml:space="preserve">(3) decreased number of cartilage grafts used; and 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rtl/>
          <w:lang w:bidi="ar-IQ"/>
        </w:rPr>
      </w:pPr>
      <w:r w:rsidRPr="00761351">
        <w:rPr>
          <w:rFonts w:ascii="AdvPSA183" w:hAnsi="AdvPSA183" w:cs="AdvPSA183"/>
          <w:sz w:val="18"/>
          <w:szCs w:val="18"/>
          <w:lang w:bidi="ar-IQ"/>
        </w:rPr>
        <w:t xml:space="preserve">(4) more rapid healing of the upper two-thirds of the nose. 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rtl/>
          <w:lang w:bidi="ar-IQ"/>
        </w:rPr>
      </w:pPr>
      <w:r w:rsidRPr="00761351">
        <w:rPr>
          <w:rFonts w:ascii="AdvPSA183" w:hAnsi="AdvPSA183" w:cs="AdvPSA183"/>
          <w:sz w:val="18"/>
          <w:szCs w:val="18"/>
          <w:lang w:bidi="ar-IQ"/>
        </w:rPr>
        <w:t>From an aesthetic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rtl/>
          <w:lang w:bidi="ar-IQ"/>
        </w:rPr>
      </w:pPr>
      <w:r w:rsidRPr="00761351">
        <w:rPr>
          <w:rFonts w:ascii="AdvPSA183" w:hAnsi="AdvPSA183" w:cs="AdvPSA183"/>
          <w:sz w:val="18"/>
          <w:szCs w:val="18"/>
          <w:lang w:bidi="ar-IQ"/>
        </w:rPr>
        <w:t>point of view, we believe there is less likelihood of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rtl/>
          <w:lang w:bidi="ar-IQ"/>
        </w:rPr>
      </w:pPr>
      <w:r w:rsidRPr="00761351">
        <w:rPr>
          <w:rFonts w:ascii="AdvPSA183" w:hAnsi="AdvPSA183" w:cs="AdvPSA183"/>
          <w:sz w:val="18"/>
          <w:szCs w:val="18"/>
          <w:lang w:bidi="ar-IQ"/>
        </w:rPr>
        <w:t>creating excessive width or collapse of the middle</w:t>
      </w:r>
    </w:p>
    <w:p w:rsidR="00FB42D9" w:rsidRPr="00761351" w:rsidRDefault="00761351" w:rsidP="007613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rtl/>
          <w:lang w:bidi="ar-IQ"/>
        </w:rPr>
      </w:pPr>
      <w:r w:rsidRPr="00761351">
        <w:rPr>
          <w:rFonts w:ascii="AdvPSA183" w:hAnsi="AdvPSA183" w:cs="AdvPSA183"/>
          <w:sz w:val="18"/>
          <w:szCs w:val="18"/>
          <w:lang w:bidi="ar-IQ"/>
        </w:rPr>
        <w:t>vault and nasal bone deformities.</w:t>
      </w:r>
    </w:p>
    <w:p w:rsidR="00761351" w:rsidRPr="00FD7CB1" w:rsidRDefault="00761351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  <w:lang w:bidi="ar-IQ"/>
        </w:rPr>
      </w:pPr>
    </w:p>
    <w:p w:rsidR="00F21A2C" w:rsidRPr="00FD7CB1" w:rsidRDefault="00F21A2C" w:rsidP="00FD4ED7">
      <w:pPr>
        <w:autoSpaceDE w:val="0"/>
        <w:autoSpaceDN w:val="0"/>
        <w:adjustRightInd w:val="0"/>
        <w:spacing w:after="0" w:line="240" w:lineRule="auto"/>
        <w:rPr>
          <w:rFonts w:ascii="AdvPSA183" w:hAnsi="AdvPSA183" w:cs="AdvPSA183"/>
          <w:sz w:val="18"/>
          <w:szCs w:val="18"/>
        </w:rPr>
      </w:pPr>
    </w:p>
    <w:sectPr w:rsidR="00F21A2C" w:rsidRPr="00FD7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SA33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A18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A33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82BA7"/>
    <w:multiLevelType w:val="hybridMultilevel"/>
    <w:tmpl w:val="A8684A12"/>
    <w:lvl w:ilvl="0" w:tplc="0920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7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27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6D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AA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83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E5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2A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AB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53"/>
    <w:rsid w:val="000954EA"/>
    <w:rsid w:val="003E45FB"/>
    <w:rsid w:val="004360D1"/>
    <w:rsid w:val="00494D53"/>
    <w:rsid w:val="006534F9"/>
    <w:rsid w:val="006A4DC1"/>
    <w:rsid w:val="00761351"/>
    <w:rsid w:val="00AC7EFD"/>
    <w:rsid w:val="00F21A2C"/>
    <w:rsid w:val="00FB42D9"/>
    <w:rsid w:val="00FD4ED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E1EB9"/>
  <w15:chartTrackingRefBased/>
  <w15:docId w15:val="{9E1624D7-ACF6-42D1-BF92-3F908B0C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2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Dr.Kurdo</dc:creator>
  <cp:keywords/>
  <dc:description/>
  <cp:lastModifiedBy>Dr.Kurdo</cp:lastModifiedBy>
  <cp:revision>8</cp:revision>
  <dcterms:created xsi:type="dcterms:W3CDTF">2022-07-04T07:03:00Z</dcterms:created>
  <dcterms:modified xsi:type="dcterms:W3CDTF">2022-07-04T10:41:00Z</dcterms:modified>
</cp:coreProperties>
</file>