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92" w:rsidRPr="00F813C6" w:rsidRDefault="00394A92" w:rsidP="00394A92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Covering letter</w:t>
      </w:r>
    </w:p>
    <w:p w:rsidR="005F279F" w:rsidRPr="00F813C6" w:rsidRDefault="005F279F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6E1338" w:rsidRPr="00F813C6" w:rsidRDefault="00D8180E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The Scientific </w:t>
      </w:r>
      <w:r w:rsidR="00B11672" w:rsidRPr="00F813C6">
        <w:rPr>
          <w:rFonts w:asciiTheme="minorHAnsi" w:hAnsiTheme="minorHAnsi" w:cstheme="minorHAnsi"/>
          <w:color w:val="000000"/>
          <w:sz w:val="28"/>
          <w:szCs w:val="28"/>
        </w:rPr>
        <w:t>Committee,</w:t>
      </w:r>
    </w:p>
    <w:p w:rsidR="00B11672" w:rsidRPr="00F813C6" w:rsidRDefault="00814A1C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>Second</w:t>
      </w:r>
      <w:r w:rsidR="00B11672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IAMRS Conference.</w:t>
      </w:r>
    </w:p>
    <w:p w:rsidR="00B11672" w:rsidRPr="00F813C6" w:rsidRDefault="00B11672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6E1338" w:rsidRPr="00F813C6" w:rsidRDefault="006E1338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Submission of </w:t>
      </w:r>
      <w:r w:rsidR="00D8180E" w:rsidRPr="00F813C6">
        <w:rPr>
          <w:rFonts w:asciiTheme="minorHAnsi" w:hAnsiTheme="minorHAnsi" w:cstheme="minorHAnsi"/>
          <w:color w:val="000000"/>
          <w:sz w:val="28"/>
          <w:szCs w:val="28"/>
        </w:rPr>
        <w:t>Abstract</w:t>
      </w:r>
      <w:r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C26C5" w:rsidRPr="00F813C6">
        <w:rPr>
          <w:rFonts w:asciiTheme="minorHAnsi" w:hAnsiTheme="minorHAnsi" w:cstheme="minorHAnsi"/>
          <w:color w:val="000000"/>
          <w:sz w:val="28"/>
          <w:szCs w:val="28"/>
        </w:rPr>
        <w:t>f</w:t>
      </w:r>
      <w:r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or </w:t>
      </w:r>
      <w:r w:rsidR="00B11672" w:rsidRPr="00F813C6">
        <w:rPr>
          <w:rFonts w:asciiTheme="minorHAnsi" w:hAnsiTheme="minorHAnsi" w:cstheme="minorHAnsi"/>
          <w:color w:val="000000"/>
          <w:sz w:val="28"/>
          <w:szCs w:val="28"/>
        </w:rPr>
        <w:t>the</w:t>
      </w:r>
      <w:r w:rsidR="002C26C5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8180E" w:rsidRPr="00F813C6">
        <w:rPr>
          <w:rFonts w:asciiTheme="minorHAnsi" w:hAnsiTheme="minorHAnsi" w:cstheme="minorHAnsi"/>
          <w:color w:val="000000"/>
          <w:sz w:val="28"/>
          <w:szCs w:val="28"/>
        </w:rPr>
        <w:t>Conference</w:t>
      </w:r>
    </w:p>
    <w:p w:rsidR="00B11672" w:rsidRPr="00F813C6" w:rsidRDefault="00B11672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6E1338" w:rsidRPr="00F813C6" w:rsidRDefault="006E1338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>Dear Sir</w:t>
      </w:r>
      <w:r w:rsidR="002C26C5" w:rsidRPr="00F813C6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Pr="00F813C6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2C26C5" w:rsidRPr="00F813C6" w:rsidRDefault="002C26C5" w:rsidP="002C26C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E1338" w:rsidRPr="00F813C6" w:rsidRDefault="002C26C5" w:rsidP="00F813C6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We intend to present the </w:t>
      </w:r>
      <w:r w:rsidR="006577E7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attached </w:t>
      </w:r>
      <w:r w:rsidR="006E1338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article entitled </w:t>
      </w:r>
      <w:r w:rsidR="00937758" w:rsidRPr="00F813C6">
        <w:rPr>
          <w:rFonts w:asciiTheme="minorHAnsi" w:hAnsiTheme="minorHAnsi" w:cstheme="minorHAnsi"/>
          <w:b/>
          <w:color w:val="000000"/>
          <w:sz w:val="28"/>
          <w:szCs w:val="28"/>
        </w:rPr>
        <w:t>“</w:t>
      </w:r>
      <w:r w:rsidR="00F813C6" w:rsidRPr="00F813C6">
        <w:rPr>
          <w:rFonts w:asciiTheme="minorHAnsi" w:hAnsiTheme="minorHAnsi" w:cstheme="minorHAnsi"/>
          <w:b/>
          <w:color w:val="000000"/>
          <w:sz w:val="28"/>
          <w:szCs w:val="28"/>
        </w:rPr>
        <w:t>P</w:t>
      </w:r>
      <w:r w:rsidR="00937758" w:rsidRPr="00F813C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recocious </w:t>
      </w:r>
      <w:r w:rsidR="00937758" w:rsidRPr="00F813C6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puberty</w:t>
      </w:r>
      <w:r w:rsidR="00F813C6" w:rsidRPr="00F813C6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:</w:t>
      </w:r>
      <w:r w:rsidR="00937758" w:rsidRPr="00F813C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F813C6" w:rsidRPr="00F813C6">
        <w:rPr>
          <w:rFonts w:asciiTheme="minorHAnsi" w:hAnsiTheme="minorHAnsi" w:cstheme="minorHAnsi"/>
          <w:b/>
          <w:color w:val="000000"/>
          <w:sz w:val="28"/>
          <w:szCs w:val="28"/>
        </w:rPr>
        <w:t>Basrah experience”</w:t>
      </w:r>
      <w:r w:rsidR="006E1338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in your</w:t>
      </w:r>
      <w:r w:rsidR="00814A1C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Second</w:t>
      </w:r>
      <w:r w:rsidR="006E1338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IAMRS Conference. On behalf of all contributors</w:t>
      </w:r>
      <w:r w:rsidRPr="00F813C6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6E1338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I will act </w:t>
      </w:r>
      <w:r w:rsidRPr="00F813C6">
        <w:rPr>
          <w:rFonts w:asciiTheme="minorHAnsi" w:hAnsiTheme="minorHAnsi" w:cstheme="minorHAnsi"/>
          <w:color w:val="000000"/>
          <w:sz w:val="28"/>
          <w:szCs w:val="28"/>
        </w:rPr>
        <w:t>as the corresponding author</w:t>
      </w:r>
      <w:r w:rsidR="006E1338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from this point onward.</w:t>
      </w:r>
      <w:r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We have</w:t>
      </w:r>
      <w:r w:rsidR="006E1338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no</w:t>
      </w:r>
      <w:r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conflict of</w:t>
      </w:r>
      <w:r w:rsidR="006E1338"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interest in any substance or material mentioned in this manuscript.</w:t>
      </w:r>
    </w:p>
    <w:p w:rsidR="002C26C5" w:rsidRPr="00F813C6" w:rsidRDefault="006E1338" w:rsidP="00B11672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</w:p>
    <w:p w:rsidR="006E1338" w:rsidRPr="00F813C6" w:rsidRDefault="00B11672" w:rsidP="002C26C5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813C6">
        <w:rPr>
          <w:rFonts w:asciiTheme="minorHAnsi" w:hAnsiTheme="minorHAnsi" w:cstheme="minorHAnsi"/>
          <w:color w:val="000000"/>
          <w:sz w:val="28"/>
          <w:szCs w:val="28"/>
        </w:rPr>
        <w:t>Yours s</w:t>
      </w:r>
      <w:r w:rsidR="006E1338" w:rsidRPr="00F813C6">
        <w:rPr>
          <w:rFonts w:asciiTheme="minorHAnsi" w:hAnsiTheme="minorHAnsi" w:cstheme="minorHAnsi"/>
          <w:color w:val="000000"/>
          <w:sz w:val="28"/>
          <w:szCs w:val="28"/>
        </w:rPr>
        <w:t>incerely,</w:t>
      </w:r>
    </w:p>
    <w:p w:rsidR="006E1338" w:rsidRPr="00F813C6" w:rsidRDefault="006E1338" w:rsidP="006E1338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6E1338" w:rsidRPr="00F813C6" w:rsidRDefault="006E1338" w:rsidP="002C26C5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6E1338" w:rsidRPr="00CA4B2D" w:rsidRDefault="002C26C5" w:rsidP="00CA4B2D">
      <w:pPr>
        <w:pStyle w:val="NoSpacing"/>
        <w:rPr>
          <w:sz w:val="28"/>
          <w:szCs w:val="28"/>
        </w:rPr>
      </w:pPr>
      <w:r w:rsidRPr="00CA4B2D">
        <w:rPr>
          <w:b/>
          <w:bCs/>
          <w:sz w:val="28"/>
          <w:szCs w:val="28"/>
        </w:rPr>
        <w:t>Corresponding Author</w:t>
      </w:r>
      <w:r w:rsidRPr="00CA4B2D">
        <w:rPr>
          <w:sz w:val="28"/>
          <w:szCs w:val="28"/>
        </w:rPr>
        <w:t>:</w:t>
      </w:r>
      <w:r w:rsidR="008A6044" w:rsidRPr="00CA4B2D">
        <w:rPr>
          <w:sz w:val="28"/>
          <w:szCs w:val="28"/>
        </w:rPr>
        <w:t xml:space="preserve"> </w:t>
      </w:r>
      <w:r w:rsidR="00F813C6" w:rsidRPr="00CA4B2D">
        <w:rPr>
          <w:sz w:val="28"/>
          <w:szCs w:val="28"/>
        </w:rPr>
        <w:t xml:space="preserve">Ahmed Jaafer Hindi Al-Ali -MD,  </w:t>
      </w:r>
    </w:p>
    <w:p w:rsidR="00392C86" w:rsidRPr="00CA4B2D" w:rsidRDefault="006E1338" w:rsidP="00CA4B2D">
      <w:pPr>
        <w:pStyle w:val="NoSpacing"/>
        <w:rPr>
          <w:sz w:val="28"/>
          <w:szCs w:val="28"/>
        </w:rPr>
      </w:pPr>
      <w:r w:rsidRPr="00CA4B2D">
        <w:rPr>
          <w:sz w:val="28"/>
          <w:szCs w:val="28"/>
        </w:rPr>
        <w:t>Aff</w:t>
      </w:r>
      <w:r w:rsidR="007F73C1" w:rsidRPr="00CA4B2D">
        <w:rPr>
          <w:sz w:val="28"/>
          <w:szCs w:val="28"/>
        </w:rPr>
        <w:t>i</w:t>
      </w:r>
      <w:r w:rsidRPr="00CA4B2D">
        <w:rPr>
          <w:sz w:val="28"/>
          <w:szCs w:val="28"/>
        </w:rPr>
        <w:t>l</w:t>
      </w:r>
      <w:r w:rsidR="007F73C1" w:rsidRPr="00CA4B2D">
        <w:rPr>
          <w:sz w:val="28"/>
          <w:szCs w:val="28"/>
        </w:rPr>
        <w:t>i</w:t>
      </w:r>
      <w:r w:rsidR="002C26C5" w:rsidRPr="00CA4B2D">
        <w:rPr>
          <w:sz w:val="28"/>
          <w:szCs w:val="28"/>
        </w:rPr>
        <w:t>ation:</w:t>
      </w:r>
      <w:r w:rsidR="00F813C6" w:rsidRPr="00CA4B2D">
        <w:rPr>
          <w:sz w:val="28"/>
          <w:szCs w:val="28"/>
        </w:rPr>
        <w:t xml:space="preserve"> Pediatric </w:t>
      </w:r>
      <w:r w:rsidR="00910CDD" w:rsidRPr="00CA4B2D">
        <w:rPr>
          <w:sz w:val="28"/>
          <w:szCs w:val="28"/>
        </w:rPr>
        <w:t>Endocrinologist, Phone 009647704962707</w:t>
      </w:r>
      <w:r w:rsidR="00F813C6" w:rsidRPr="00CA4B2D">
        <w:rPr>
          <w:rStyle w:val="contentline-71"/>
          <w:sz w:val="28"/>
          <w:szCs w:val="28"/>
        </w:rPr>
        <w:t xml:space="preserve"> </w:t>
      </w:r>
      <w:r w:rsidR="00F813C6" w:rsidRPr="00CA4B2D">
        <w:rPr>
          <w:sz w:val="28"/>
          <w:szCs w:val="28"/>
        </w:rPr>
        <w:t>Email:</w:t>
      </w:r>
      <w:r w:rsidR="00930D60" w:rsidRPr="00CA4B2D">
        <w:rPr>
          <w:sz w:val="28"/>
          <w:szCs w:val="28"/>
        </w:rPr>
        <w:t xml:space="preserve"> ahmadjha979@yahoo.com </w:t>
      </w:r>
    </w:p>
    <w:p w:rsidR="00F813C6" w:rsidRPr="00CA4B2D" w:rsidRDefault="00F813C6" w:rsidP="00CA4B2D">
      <w:pPr>
        <w:pStyle w:val="NoSpacing"/>
        <w:rPr>
          <w:sz w:val="28"/>
          <w:szCs w:val="28"/>
        </w:rPr>
      </w:pPr>
      <w:r w:rsidRPr="00CA4B2D">
        <w:rPr>
          <w:sz w:val="28"/>
          <w:szCs w:val="28"/>
        </w:rPr>
        <w:t>Faiha Specialized Diabetes, Endocrine and Metabolism Center (FDEMC),Basrah,Iraq</w:t>
      </w:r>
    </w:p>
    <w:p w:rsidR="008075E6" w:rsidRPr="00CA4B2D" w:rsidRDefault="008075E6" w:rsidP="00CA4B2D">
      <w:pPr>
        <w:pStyle w:val="NoSpacing"/>
        <w:rPr>
          <w:sz w:val="28"/>
          <w:szCs w:val="28"/>
        </w:rPr>
      </w:pPr>
    </w:p>
    <w:p w:rsidR="00F41F57" w:rsidRPr="00CA4B2D" w:rsidRDefault="00F41F57" w:rsidP="00CA4B2D">
      <w:pPr>
        <w:pStyle w:val="NoSpacing"/>
        <w:rPr>
          <w:b/>
          <w:bCs/>
          <w:sz w:val="28"/>
          <w:szCs w:val="28"/>
        </w:rPr>
      </w:pPr>
      <w:r w:rsidRPr="00CA4B2D">
        <w:rPr>
          <w:b/>
          <w:bCs/>
          <w:sz w:val="28"/>
          <w:szCs w:val="28"/>
        </w:rPr>
        <w:t>Contributing Author</w:t>
      </w:r>
      <w:r w:rsidR="00930D60" w:rsidRPr="00CA4B2D">
        <w:rPr>
          <w:b/>
          <w:bCs/>
          <w:sz w:val="28"/>
          <w:szCs w:val="28"/>
        </w:rPr>
        <w:t xml:space="preserve"> </w:t>
      </w:r>
      <w:r w:rsidRPr="00CA4B2D">
        <w:rPr>
          <w:b/>
          <w:bCs/>
          <w:sz w:val="28"/>
          <w:szCs w:val="28"/>
        </w:rPr>
        <w:t xml:space="preserve">                   </w:t>
      </w:r>
    </w:p>
    <w:p w:rsidR="0098013C" w:rsidRPr="00CA4B2D" w:rsidRDefault="00930D60" w:rsidP="00CA4B2D">
      <w:pPr>
        <w:pStyle w:val="NoSpacing"/>
        <w:rPr>
          <w:sz w:val="28"/>
          <w:szCs w:val="28"/>
        </w:rPr>
      </w:pPr>
      <w:r w:rsidRPr="00CA4B2D">
        <w:rPr>
          <w:sz w:val="28"/>
          <w:szCs w:val="28"/>
        </w:rPr>
        <w:t>Dhaighum Imad Atwan Al-mahfoodh-</w:t>
      </w:r>
      <w:r w:rsidR="0098013C" w:rsidRPr="00CA4B2D">
        <w:rPr>
          <w:sz w:val="28"/>
          <w:szCs w:val="28"/>
        </w:rPr>
        <w:t>MD, Pediatric Endocrinologist :</w:t>
      </w:r>
    </w:p>
    <w:p w:rsidR="00F41F57" w:rsidRPr="00CA4B2D" w:rsidRDefault="0098013C" w:rsidP="00CA4B2D">
      <w:pPr>
        <w:pStyle w:val="NoSpacing"/>
        <w:rPr>
          <w:sz w:val="28"/>
          <w:szCs w:val="28"/>
        </w:rPr>
      </w:pPr>
      <w:r w:rsidRPr="00CA4B2D">
        <w:rPr>
          <w:sz w:val="28"/>
          <w:szCs w:val="28"/>
        </w:rPr>
        <w:t>Phone 009647705528096</w:t>
      </w:r>
      <w:r w:rsidR="00CA4B2D">
        <w:rPr>
          <w:sz w:val="28"/>
          <w:szCs w:val="28"/>
        </w:rPr>
        <w:t>,</w:t>
      </w:r>
      <w:r w:rsidRPr="00CA4B2D">
        <w:rPr>
          <w:sz w:val="28"/>
          <w:szCs w:val="28"/>
        </w:rPr>
        <w:t xml:space="preserve"> Email: </w:t>
      </w:r>
      <w:r w:rsidR="00930D60" w:rsidRPr="00CA4B2D">
        <w:rPr>
          <w:sz w:val="28"/>
          <w:szCs w:val="28"/>
        </w:rPr>
        <w:t>dhaigh1977@gmail.com</w:t>
      </w:r>
    </w:p>
    <w:p w:rsidR="00930D60" w:rsidRPr="00CA4B2D" w:rsidRDefault="00930D60" w:rsidP="00CA4B2D">
      <w:pPr>
        <w:pStyle w:val="NoSpacing"/>
        <w:rPr>
          <w:sz w:val="28"/>
          <w:szCs w:val="28"/>
        </w:rPr>
      </w:pPr>
      <w:r w:rsidRPr="00CA4B2D">
        <w:rPr>
          <w:sz w:val="28"/>
          <w:szCs w:val="28"/>
        </w:rPr>
        <w:t>Faiha Specialized Diabetes, Endocrine and Metabolism Center (FDEMC),Basrah,Iraq</w:t>
      </w:r>
    </w:p>
    <w:p w:rsidR="00930D60" w:rsidRPr="00CA4B2D" w:rsidRDefault="00930D60" w:rsidP="00CA4B2D">
      <w:pPr>
        <w:pStyle w:val="NoSpacing"/>
        <w:rPr>
          <w:sz w:val="28"/>
          <w:szCs w:val="28"/>
        </w:rPr>
      </w:pPr>
    </w:p>
    <w:p w:rsidR="00405506" w:rsidRPr="001D4144" w:rsidRDefault="00930D60" w:rsidP="00CA4B2D">
      <w:pPr>
        <w:pStyle w:val="NoSpacing"/>
        <w:rPr>
          <w:b/>
          <w:bCs/>
          <w:sz w:val="28"/>
          <w:szCs w:val="28"/>
        </w:rPr>
      </w:pPr>
      <w:r w:rsidRPr="001D4144">
        <w:rPr>
          <w:b/>
          <w:bCs/>
          <w:sz w:val="28"/>
          <w:szCs w:val="28"/>
        </w:rPr>
        <w:t xml:space="preserve"> On the behalf of FDEMC</w:t>
      </w:r>
    </w:p>
    <w:p w:rsidR="00404479" w:rsidRPr="00CA4B2D" w:rsidRDefault="00404479" w:rsidP="00CA4B2D">
      <w:pPr>
        <w:pStyle w:val="NoSpacing"/>
        <w:rPr>
          <w:sz w:val="28"/>
          <w:szCs w:val="28"/>
        </w:rPr>
      </w:pPr>
    </w:p>
    <w:p w:rsidR="00874A4B" w:rsidRPr="00CA4B2D" w:rsidRDefault="00874A4B" w:rsidP="00CA4B2D">
      <w:pPr>
        <w:pStyle w:val="NoSpacing"/>
        <w:rPr>
          <w:sz w:val="28"/>
          <w:szCs w:val="28"/>
        </w:rPr>
      </w:pPr>
    </w:p>
    <w:p w:rsidR="00AE2C7F" w:rsidRPr="00CA4B2D" w:rsidRDefault="00AE2C7F" w:rsidP="00CA4B2D">
      <w:pPr>
        <w:pStyle w:val="NoSpacing"/>
        <w:rPr>
          <w:sz w:val="28"/>
          <w:szCs w:val="28"/>
        </w:rPr>
      </w:pPr>
    </w:p>
    <w:p w:rsidR="00B11672" w:rsidRPr="00F813C6" w:rsidRDefault="00B11672" w:rsidP="00405506">
      <w:pPr>
        <w:jc w:val="center"/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</w:pPr>
    </w:p>
    <w:p w:rsidR="00B11672" w:rsidRPr="00F813C6" w:rsidRDefault="00B11672" w:rsidP="00405506">
      <w:pPr>
        <w:jc w:val="center"/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</w:pPr>
    </w:p>
    <w:p w:rsidR="000A6B5F" w:rsidRPr="00F813C6" w:rsidRDefault="000A6B5F" w:rsidP="00405506">
      <w:pPr>
        <w:jc w:val="center"/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</w:pPr>
    </w:p>
    <w:p w:rsidR="00405506" w:rsidRPr="00F813C6" w:rsidRDefault="00405506" w:rsidP="00405506">
      <w:pPr>
        <w:jc w:val="center"/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</w:pPr>
      <w:r w:rsidRPr="00F813C6"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  <w:lastRenderedPageBreak/>
        <w:t>Abstract</w:t>
      </w:r>
    </w:p>
    <w:p w:rsidR="00405506" w:rsidRPr="00F813C6" w:rsidRDefault="00405506" w:rsidP="00405506">
      <w:pPr>
        <w:jc w:val="center"/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</w:pPr>
    </w:p>
    <w:p w:rsidR="00405506" w:rsidRPr="00F813C6" w:rsidRDefault="00405506" w:rsidP="00CA4B2D">
      <w:pPr>
        <w:rPr>
          <w:rFonts w:asciiTheme="minorHAnsi" w:hAnsiTheme="minorHAnsi" w:cstheme="minorHAnsi"/>
          <w:sz w:val="28"/>
          <w:szCs w:val="28"/>
        </w:rPr>
      </w:pPr>
      <w:r w:rsidRPr="00F813C6">
        <w:rPr>
          <w:rFonts w:asciiTheme="minorHAnsi" w:hAnsiTheme="minorHAnsi" w:cstheme="minorHAnsi"/>
          <w:sz w:val="28"/>
          <w:szCs w:val="28"/>
        </w:rPr>
        <w:t>Title</w:t>
      </w:r>
      <w:r w:rsidR="00B11672" w:rsidRPr="00F813C6">
        <w:rPr>
          <w:rFonts w:asciiTheme="minorHAnsi" w:hAnsiTheme="minorHAnsi" w:cstheme="minorHAnsi"/>
          <w:sz w:val="28"/>
          <w:szCs w:val="28"/>
        </w:rPr>
        <w:t>:</w:t>
      </w:r>
      <w:r w:rsidR="000A6B5F" w:rsidRPr="00F813C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CA4B2D" w:rsidRPr="00F813C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Precocious </w:t>
      </w:r>
      <w:r w:rsidR="00CA4B2D" w:rsidRPr="00F813C6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puberty:</w:t>
      </w:r>
      <w:r w:rsidR="00CA4B2D" w:rsidRPr="00F813C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Basrah experience</w:t>
      </w:r>
    </w:p>
    <w:p w:rsidR="00405506" w:rsidRPr="00F813C6" w:rsidRDefault="00405506" w:rsidP="0040550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05506" w:rsidRDefault="006577E7" w:rsidP="00CA4B2D">
      <w:pPr>
        <w:pStyle w:val="NoSpacing"/>
        <w:rPr>
          <w:rFonts w:cstheme="minorHAnsi"/>
          <w:sz w:val="28"/>
          <w:szCs w:val="28"/>
        </w:rPr>
      </w:pPr>
      <w:r w:rsidRPr="00F813C6">
        <w:rPr>
          <w:rFonts w:cstheme="minorHAnsi"/>
          <w:sz w:val="28"/>
          <w:szCs w:val="28"/>
        </w:rPr>
        <w:t>Authors:</w:t>
      </w:r>
      <w:r w:rsidR="000A6B5F" w:rsidRPr="00F813C6">
        <w:rPr>
          <w:rFonts w:cstheme="minorHAnsi"/>
          <w:sz w:val="28"/>
          <w:szCs w:val="28"/>
        </w:rPr>
        <w:t xml:space="preserve"> </w:t>
      </w:r>
      <w:r w:rsidR="00CA4B2D" w:rsidRPr="00CA4B2D">
        <w:rPr>
          <w:sz w:val="28"/>
          <w:szCs w:val="28"/>
        </w:rPr>
        <w:t>Ahmed Jaafer Hindi Al-Ali</w:t>
      </w:r>
      <w:r w:rsidR="000A6B5F" w:rsidRPr="00F813C6">
        <w:rPr>
          <w:rFonts w:cstheme="minorHAnsi"/>
          <w:sz w:val="28"/>
          <w:szCs w:val="28"/>
        </w:rPr>
        <w:t xml:space="preserve">, </w:t>
      </w:r>
      <w:r w:rsidR="00CA4B2D" w:rsidRPr="00CA4B2D">
        <w:rPr>
          <w:sz w:val="28"/>
          <w:szCs w:val="28"/>
        </w:rPr>
        <w:t>Dhaighum Imad Atwan Al-</w:t>
      </w:r>
      <w:r w:rsidR="00CA4B2D" w:rsidRPr="000625AA">
        <w:rPr>
          <w:noProof/>
          <w:sz w:val="28"/>
          <w:szCs w:val="28"/>
        </w:rPr>
        <w:t>mahfoodh</w:t>
      </w:r>
      <w:r w:rsidR="000A6B5F" w:rsidRPr="00F813C6">
        <w:rPr>
          <w:rFonts w:cstheme="minorHAnsi"/>
          <w:sz w:val="28"/>
          <w:szCs w:val="28"/>
        </w:rPr>
        <w:t xml:space="preserve">, </w:t>
      </w:r>
      <w:r w:rsidR="00E71DE7">
        <w:rPr>
          <w:rFonts w:cstheme="minorHAnsi"/>
          <w:sz w:val="28"/>
          <w:szCs w:val="28"/>
        </w:rPr>
        <w:t>on</w:t>
      </w:r>
      <w:r w:rsidR="000904DE" w:rsidRPr="00E71DE7">
        <w:rPr>
          <w:rFonts w:cstheme="minorHAnsi"/>
          <w:noProof/>
          <w:sz w:val="28"/>
          <w:szCs w:val="28"/>
        </w:rPr>
        <w:t xml:space="preserve"> behalf of</w:t>
      </w:r>
      <w:r w:rsidR="000904DE" w:rsidRPr="00F813C6">
        <w:rPr>
          <w:rFonts w:cstheme="minorHAnsi"/>
          <w:sz w:val="28"/>
          <w:szCs w:val="28"/>
        </w:rPr>
        <w:t xml:space="preserve"> FDEMC</w:t>
      </w:r>
    </w:p>
    <w:p w:rsidR="00CA4B2D" w:rsidRPr="00F813C6" w:rsidRDefault="00CA4B2D" w:rsidP="00CA4B2D">
      <w:pPr>
        <w:pStyle w:val="NoSpacing"/>
        <w:rPr>
          <w:rFonts w:cstheme="minorHAnsi"/>
          <w:sz w:val="28"/>
          <w:szCs w:val="28"/>
        </w:rPr>
      </w:pPr>
    </w:p>
    <w:p w:rsidR="00405506" w:rsidRDefault="00B11672" w:rsidP="00CA4B2D">
      <w:pPr>
        <w:pStyle w:val="NoSpacing"/>
        <w:rPr>
          <w:sz w:val="28"/>
          <w:szCs w:val="28"/>
        </w:rPr>
      </w:pPr>
      <w:r w:rsidRPr="00CA4B2D">
        <w:rPr>
          <w:sz w:val="28"/>
          <w:szCs w:val="28"/>
        </w:rPr>
        <w:t>Aim</w:t>
      </w:r>
      <w:r w:rsidR="006577E7" w:rsidRPr="00CA4B2D">
        <w:rPr>
          <w:sz w:val="28"/>
          <w:szCs w:val="28"/>
        </w:rPr>
        <w:t>:</w:t>
      </w:r>
      <w:r w:rsidR="00D06A7F" w:rsidRPr="00CA4B2D">
        <w:rPr>
          <w:sz w:val="28"/>
          <w:szCs w:val="28"/>
        </w:rPr>
        <w:t xml:space="preserve"> to analy</w:t>
      </w:r>
      <w:r w:rsidR="00F813C6" w:rsidRPr="00CA4B2D">
        <w:rPr>
          <w:sz w:val="28"/>
          <w:szCs w:val="28"/>
        </w:rPr>
        <w:t>z</w:t>
      </w:r>
      <w:r w:rsidR="00D06A7F" w:rsidRPr="00CA4B2D">
        <w:rPr>
          <w:sz w:val="28"/>
          <w:szCs w:val="28"/>
        </w:rPr>
        <w:t>e the causes of precocious puberty for patient</w:t>
      </w:r>
      <w:r w:rsidR="00F813C6" w:rsidRPr="00CA4B2D">
        <w:rPr>
          <w:sz w:val="28"/>
          <w:szCs w:val="28"/>
        </w:rPr>
        <w:t>s</w:t>
      </w:r>
      <w:r w:rsidR="00D06A7F" w:rsidRPr="00CA4B2D">
        <w:rPr>
          <w:sz w:val="28"/>
          <w:szCs w:val="28"/>
        </w:rPr>
        <w:t xml:space="preserve"> referred to FDEMC.  </w:t>
      </w:r>
      <w:r w:rsidR="00405506" w:rsidRPr="00CA4B2D">
        <w:rPr>
          <w:sz w:val="28"/>
          <w:szCs w:val="28"/>
        </w:rPr>
        <w:t xml:space="preserve">   </w:t>
      </w:r>
    </w:p>
    <w:p w:rsidR="00CA4B2D" w:rsidRPr="00CA4B2D" w:rsidRDefault="00CA4B2D" w:rsidP="00CA4B2D">
      <w:pPr>
        <w:pStyle w:val="NoSpacing"/>
        <w:rPr>
          <w:sz w:val="28"/>
          <w:szCs w:val="28"/>
        </w:rPr>
      </w:pPr>
    </w:p>
    <w:p w:rsidR="00405506" w:rsidRPr="00CA4B2D" w:rsidRDefault="00B11672" w:rsidP="00CA4B2D">
      <w:pPr>
        <w:pStyle w:val="NoSpacing"/>
        <w:jc w:val="both"/>
        <w:rPr>
          <w:sz w:val="28"/>
          <w:szCs w:val="28"/>
        </w:rPr>
      </w:pPr>
      <w:r w:rsidRPr="00CA4B2D">
        <w:rPr>
          <w:sz w:val="28"/>
          <w:szCs w:val="28"/>
        </w:rPr>
        <w:t>Methods</w:t>
      </w:r>
      <w:r w:rsidR="006577E7" w:rsidRPr="00CA4B2D">
        <w:rPr>
          <w:sz w:val="28"/>
          <w:szCs w:val="28"/>
        </w:rPr>
        <w:t>:</w:t>
      </w:r>
      <w:r w:rsidR="00D859F2" w:rsidRPr="00CA4B2D">
        <w:rPr>
          <w:sz w:val="28"/>
          <w:szCs w:val="28"/>
        </w:rPr>
        <w:t xml:space="preserve"> This </w:t>
      </w:r>
      <w:r w:rsidR="00CA4B2D">
        <w:rPr>
          <w:sz w:val="28"/>
          <w:szCs w:val="28"/>
        </w:rPr>
        <w:t>was a</w:t>
      </w:r>
      <w:r w:rsidR="00D859F2" w:rsidRPr="00CA4B2D">
        <w:rPr>
          <w:sz w:val="28"/>
          <w:szCs w:val="28"/>
        </w:rPr>
        <w:t xml:space="preserve"> retrospective study conducted on </w:t>
      </w:r>
      <w:r w:rsidR="00E71DE7" w:rsidRPr="00E71DE7">
        <w:rPr>
          <w:noProof/>
          <w:sz w:val="28"/>
          <w:szCs w:val="28"/>
        </w:rPr>
        <w:t>patients</w:t>
      </w:r>
      <w:r w:rsidR="00CA4B2D" w:rsidRPr="00E71DE7">
        <w:rPr>
          <w:noProof/>
          <w:sz w:val="28"/>
          <w:szCs w:val="28"/>
        </w:rPr>
        <w:t xml:space="preserve"> </w:t>
      </w:r>
      <w:r w:rsidR="00D859F2" w:rsidRPr="00E71DE7">
        <w:rPr>
          <w:noProof/>
          <w:sz w:val="28"/>
          <w:szCs w:val="28"/>
        </w:rPr>
        <w:t>attended</w:t>
      </w:r>
      <w:r w:rsidR="00D859F2" w:rsidRPr="00CA4B2D">
        <w:rPr>
          <w:sz w:val="28"/>
          <w:szCs w:val="28"/>
        </w:rPr>
        <w:t xml:space="preserve"> the FDEMC </w:t>
      </w:r>
      <w:r w:rsidR="008D65E7">
        <w:rPr>
          <w:sz w:val="28"/>
          <w:szCs w:val="28"/>
        </w:rPr>
        <w:t>between April</w:t>
      </w:r>
      <w:r w:rsidR="001E750D" w:rsidRPr="00CA4B2D">
        <w:rPr>
          <w:sz w:val="28"/>
          <w:szCs w:val="28"/>
        </w:rPr>
        <w:t xml:space="preserve"> </w:t>
      </w:r>
      <w:r w:rsidR="001E750D">
        <w:rPr>
          <w:sz w:val="28"/>
          <w:szCs w:val="28"/>
        </w:rPr>
        <w:t>2011</w:t>
      </w:r>
      <w:r w:rsidR="00D859F2" w:rsidRPr="00CA4B2D">
        <w:rPr>
          <w:sz w:val="28"/>
          <w:szCs w:val="28"/>
        </w:rPr>
        <w:t>-</w:t>
      </w:r>
      <w:r w:rsidR="008D65E7">
        <w:rPr>
          <w:sz w:val="28"/>
          <w:szCs w:val="28"/>
        </w:rPr>
        <w:t xml:space="preserve"> January </w:t>
      </w:r>
      <w:r w:rsidR="00D859F2" w:rsidRPr="00CA4B2D">
        <w:rPr>
          <w:sz w:val="28"/>
          <w:szCs w:val="28"/>
        </w:rPr>
        <w:t>2019</w:t>
      </w:r>
      <w:r w:rsidR="00912738" w:rsidRPr="00CA4B2D">
        <w:rPr>
          <w:sz w:val="28"/>
          <w:szCs w:val="28"/>
        </w:rPr>
        <w:t>.</w:t>
      </w:r>
    </w:p>
    <w:p w:rsidR="00405506" w:rsidRPr="00CA4B2D" w:rsidRDefault="006525B6" w:rsidP="00433375">
      <w:pPr>
        <w:pStyle w:val="NoSpacing"/>
        <w:jc w:val="both"/>
        <w:rPr>
          <w:sz w:val="28"/>
          <w:szCs w:val="28"/>
        </w:rPr>
      </w:pPr>
      <w:r w:rsidRPr="00CA4B2D">
        <w:rPr>
          <w:sz w:val="28"/>
          <w:szCs w:val="28"/>
        </w:rPr>
        <w:t>Results:</w:t>
      </w:r>
      <w:r w:rsidR="000427E0" w:rsidRPr="00CA4B2D">
        <w:rPr>
          <w:sz w:val="28"/>
          <w:szCs w:val="28"/>
        </w:rPr>
        <w:t xml:space="preserve"> </w:t>
      </w:r>
      <w:r w:rsidR="00CA4B2D">
        <w:rPr>
          <w:sz w:val="28"/>
          <w:szCs w:val="28"/>
        </w:rPr>
        <w:t xml:space="preserve">The total registered patients </w:t>
      </w:r>
      <w:r w:rsidR="001E750D">
        <w:rPr>
          <w:sz w:val="28"/>
          <w:szCs w:val="28"/>
        </w:rPr>
        <w:t xml:space="preserve">were </w:t>
      </w:r>
      <w:r w:rsidR="001E750D" w:rsidRPr="00CA4B2D">
        <w:rPr>
          <w:sz w:val="28"/>
          <w:szCs w:val="28"/>
        </w:rPr>
        <w:t>86</w:t>
      </w:r>
      <w:r w:rsidR="000427E0" w:rsidRPr="00CA4B2D">
        <w:rPr>
          <w:sz w:val="28"/>
          <w:szCs w:val="28"/>
        </w:rPr>
        <w:t xml:space="preserve"> </w:t>
      </w:r>
      <w:r w:rsidR="001E750D" w:rsidRPr="00CA4B2D">
        <w:rPr>
          <w:sz w:val="28"/>
          <w:szCs w:val="28"/>
        </w:rPr>
        <w:t>patients</w:t>
      </w:r>
      <w:r w:rsidR="000427E0" w:rsidRPr="00CA4B2D">
        <w:rPr>
          <w:sz w:val="28"/>
          <w:szCs w:val="28"/>
        </w:rPr>
        <w:t xml:space="preserve"> </w:t>
      </w:r>
      <w:r w:rsidR="00CA4B2D">
        <w:rPr>
          <w:sz w:val="28"/>
          <w:szCs w:val="28"/>
        </w:rPr>
        <w:t>with age range</w:t>
      </w:r>
      <w:r w:rsidR="000427E0" w:rsidRPr="00CA4B2D">
        <w:rPr>
          <w:sz w:val="28"/>
          <w:szCs w:val="28"/>
        </w:rPr>
        <w:t xml:space="preserve"> </w:t>
      </w:r>
      <w:r w:rsidR="000427E0" w:rsidRPr="000625AA">
        <w:rPr>
          <w:noProof/>
          <w:sz w:val="28"/>
          <w:szCs w:val="28"/>
        </w:rPr>
        <w:t>9</w:t>
      </w:r>
      <w:r w:rsidR="000427E0" w:rsidRPr="00CA4B2D">
        <w:rPr>
          <w:sz w:val="28"/>
          <w:szCs w:val="28"/>
        </w:rPr>
        <w:t xml:space="preserve"> months </w:t>
      </w:r>
      <w:r w:rsidR="00CA4B2D">
        <w:rPr>
          <w:sz w:val="28"/>
          <w:szCs w:val="28"/>
        </w:rPr>
        <w:t>to</w:t>
      </w:r>
      <w:r w:rsidR="000427E0" w:rsidRPr="00CA4B2D">
        <w:rPr>
          <w:sz w:val="28"/>
          <w:szCs w:val="28"/>
        </w:rPr>
        <w:t xml:space="preserve"> 12</w:t>
      </w:r>
      <w:r w:rsidR="00F813C6" w:rsidRPr="00CA4B2D">
        <w:rPr>
          <w:sz w:val="28"/>
          <w:szCs w:val="28"/>
        </w:rPr>
        <w:t xml:space="preserve"> </w:t>
      </w:r>
      <w:r w:rsidR="000427E0" w:rsidRPr="00CA4B2D">
        <w:rPr>
          <w:sz w:val="28"/>
          <w:szCs w:val="28"/>
        </w:rPr>
        <w:t>years</w:t>
      </w:r>
      <w:r w:rsidR="00CA4B2D">
        <w:rPr>
          <w:sz w:val="28"/>
          <w:szCs w:val="28"/>
        </w:rPr>
        <w:t>.</w:t>
      </w:r>
      <w:r w:rsidR="007C74B8">
        <w:rPr>
          <w:sz w:val="28"/>
          <w:szCs w:val="28"/>
        </w:rPr>
        <w:t xml:space="preserve"> 32 </w:t>
      </w:r>
      <w:r w:rsidR="00433375">
        <w:rPr>
          <w:sz w:val="28"/>
          <w:szCs w:val="28"/>
        </w:rPr>
        <w:t>patients</w:t>
      </w:r>
      <w:r w:rsidR="007C74B8">
        <w:rPr>
          <w:sz w:val="28"/>
          <w:szCs w:val="28"/>
        </w:rPr>
        <w:t xml:space="preserve"> (37%)</w:t>
      </w:r>
      <w:r w:rsidR="00087F33">
        <w:rPr>
          <w:sz w:val="28"/>
          <w:szCs w:val="28"/>
        </w:rPr>
        <w:t xml:space="preserve"> were excluded</w:t>
      </w:r>
      <w:r w:rsidR="00CE3DDE">
        <w:rPr>
          <w:sz w:val="28"/>
          <w:szCs w:val="28"/>
        </w:rPr>
        <w:t xml:space="preserve">, </w:t>
      </w:r>
      <w:r w:rsidR="00087F33" w:rsidRPr="00CA4B2D">
        <w:rPr>
          <w:sz w:val="28"/>
          <w:szCs w:val="28"/>
        </w:rPr>
        <w:t>12</w:t>
      </w:r>
      <w:r w:rsidR="00CE3DDE">
        <w:rPr>
          <w:sz w:val="28"/>
          <w:szCs w:val="28"/>
        </w:rPr>
        <w:t xml:space="preserve"> </w:t>
      </w:r>
      <w:r w:rsidR="00433375">
        <w:rPr>
          <w:sz w:val="28"/>
          <w:szCs w:val="28"/>
        </w:rPr>
        <w:t>patients (</w:t>
      </w:r>
      <w:r w:rsidR="00087F33" w:rsidRPr="00CA4B2D">
        <w:rPr>
          <w:sz w:val="28"/>
          <w:szCs w:val="28"/>
        </w:rPr>
        <w:t>14%) had incomplete data</w:t>
      </w:r>
      <w:r w:rsidR="00CE3DDE">
        <w:rPr>
          <w:sz w:val="28"/>
          <w:szCs w:val="28"/>
        </w:rPr>
        <w:t xml:space="preserve"> and 20 </w:t>
      </w:r>
      <w:r w:rsidR="00025A09">
        <w:rPr>
          <w:sz w:val="28"/>
          <w:szCs w:val="28"/>
        </w:rPr>
        <w:t>patients</w:t>
      </w:r>
      <w:r w:rsidR="00CE3DDE">
        <w:rPr>
          <w:sz w:val="28"/>
          <w:szCs w:val="28"/>
        </w:rPr>
        <w:t xml:space="preserve"> (23%)</w:t>
      </w:r>
      <w:r w:rsidR="00643FF6">
        <w:rPr>
          <w:sz w:val="28"/>
          <w:szCs w:val="28"/>
        </w:rPr>
        <w:t xml:space="preserve"> not fulfilling the criteria of precocious puberty. </w:t>
      </w:r>
      <w:r w:rsidR="00125110">
        <w:rPr>
          <w:sz w:val="28"/>
          <w:szCs w:val="28"/>
        </w:rPr>
        <w:t>T</w:t>
      </w:r>
      <w:r w:rsidR="00CA4B2D" w:rsidRPr="00CA4B2D">
        <w:rPr>
          <w:sz w:val="28"/>
          <w:szCs w:val="28"/>
        </w:rPr>
        <w:t>hose</w:t>
      </w:r>
      <w:r w:rsidR="000427E0" w:rsidRPr="00CA4B2D">
        <w:rPr>
          <w:sz w:val="28"/>
          <w:szCs w:val="28"/>
        </w:rPr>
        <w:t xml:space="preserve"> who were confirmed to ha</w:t>
      </w:r>
      <w:r w:rsidR="00F813C6" w:rsidRPr="00CA4B2D">
        <w:rPr>
          <w:sz w:val="28"/>
          <w:szCs w:val="28"/>
        </w:rPr>
        <w:t>ve</w:t>
      </w:r>
      <w:r w:rsidR="000427E0" w:rsidRPr="00CA4B2D">
        <w:rPr>
          <w:sz w:val="28"/>
          <w:szCs w:val="28"/>
        </w:rPr>
        <w:t xml:space="preserve"> precocious puberty</w:t>
      </w:r>
      <w:r w:rsidR="00C674EB">
        <w:rPr>
          <w:sz w:val="28"/>
          <w:szCs w:val="28"/>
        </w:rPr>
        <w:t xml:space="preserve"> </w:t>
      </w:r>
      <w:r w:rsidR="007B52D3">
        <w:rPr>
          <w:sz w:val="28"/>
          <w:szCs w:val="28"/>
        </w:rPr>
        <w:t xml:space="preserve">which are </w:t>
      </w:r>
      <w:r w:rsidR="00C674EB">
        <w:rPr>
          <w:sz w:val="28"/>
          <w:szCs w:val="28"/>
        </w:rPr>
        <w:t>54</w:t>
      </w:r>
      <w:r w:rsidR="00025A09">
        <w:rPr>
          <w:sz w:val="28"/>
          <w:szCs w:val="28"/>
        </w:rPr>
        <w:t xml:space="preserve"> patients </w:t>
      </w:r>
      <w:r w:rsidR="00C674EB">
        <w:rPr>
          <w:sz w:val="28"/>
          <w:szCs w:val="28"/>
        </w:rPr>
        <w:t>(62.6</w:t>
      </w:r>
      <w:r w:rsidR="00986CB5">
        <w:rPr>
          <w:sz w:val="28"/>
          <w:szCs w:val="28"/>
        </w:rPr>
        <w:t>%) (males</w:t>
      </w:r>
      <w:r w:rsidR="007D1FD1">
        <w:rPr>
          <w:sz w:val="28"/>
          <w:szCs w:val="28"/>
        </w:rPr>
        <w:t xml:space="preserve"> </w:t>
      </w:r>
      <w:r w:rsidR="00CD3477">
        <w:rPr>
          <w:sz w:val="28"/>
          <w:szCs w:val="28"/>
        </w:rPr>
        <w:t>8</w:t>
      </w:r>
      <w:r w:rsidR="00986CB5">
        <w:rPr>
          <w:sz w:val="28"/>
          <w:szCs w:val="28"/>
        </w:rPr>
        <w:t>(</w:t>
      </w:r>
      <w:r w:rsidR="00CD3477">
        <w:rPr>
          <w:sz w:val="28"/>
          <w:szCs w:val="28"/>
        </w:rPr>
        <w:t>15</w:t>
      </w:r>
      <w:r w:rsidR="00986CB5">
        <w:rPr>
          <w:sz w:val="28"/>
          <w:szCs w:val="28"/>
        </w:rPr>
        <w:t>%)</w:t>
      </w:r>
      <w:r w:rsidR="007B52D3">
        <w:rPr>
          <w:sz w:val="28"/>
          <w:szCs w:val="28"/>
        </w:rPr>
        <w:t>,</w:t>
      </w:r>
      <w:r w:rsidR="00986CB5">
        <w:rPr>
          <w:sz w:val="28"/>
          <w:szCs w:val="28"/>
        </w:rPr>
        <w:t xml:space="preserve"> females</w:t>
      </w:r>
      <w:r w:rsidR="007D1FD1">
        <w:rPr>
          <w:sz w:val="28"/>
          <w:szCs w:val="28"/>
        </w:rPr>
        <w:t xml:space="preserve"> </w:t>
      </w:r>
      <w:r w:rsidR="00986CB5">
        <w:rPr>
          <w:sz w:val="28"/>
          <w:szCs w:val="28"/>
        </w:rPr>
        <w:t>4</w:t>
      </w:r>
      <w:r w:rsidR="00CD3477">
        <w:rPr>
          <w:sz w:val="28"/>
          <w:szCs w:val="28"/>
        </w:rPr>
        <w:t>6</w:t>
      </w:r>
      <w:r w:rsidR="00986CB5">
        <w:rPr>
          <w:sz w:val="28"/>
          <w:szCs w:val="28"/>
        </w:rPr>
        <w:t>(</w:t>
      </w:r>
      <w:r w:rsidR="00CD3477">
        <w:rPr>
          <w:sz w:val="28"/>
          <w:szCs w:val="28"/>
        </w:rPr>
        <w:t>85</w:t>
      </w:r>
      <w:r w:rsidR="00986CB5">
        <w:rPr>
          <w:sz w:val="28"/>
          <w:szCs w:val="28"/>
        </w:rPr>
        <w:t>%)</w:t>
      </w:r>
      <w:r w:rsidR="00910CDD">
        <w:rPr>
          <w:sz w:val="28"/>
          <w:szCs w:val="28"/>
        </w:rPr>
        <w:t>)</w:t>
      </w:r>
      <w:r w:rsidR="000427E0" w:rsidRPr="00CA4B2D">
        <w:rPr>
          <w:sz w:val="28"/>
          <w:szCs w:val="28"/>
        </w:rPr>
        <w:t>,</w:t>
      </w:r>
      <w:r w:rsidR="00CA4B2D">
        <w:rPr>
          <w:sz w:val="28"/>
          <w:szCs w:val="28"/>
        </w:rPr>
        <w:t xml:space="preserve"> </w:t>
      </w:r>
      <w:r w:rsidR="000427E0" w:rsidRPr="005A6371">
        <w:rPr>
          <w:sz w:val="28"/>
          <w:szCs w:val="28"/>
        </w:rPr>
        <w:t>3</w:t>
      </w:r>
      <w:r w:rsidR="00CD3477" w:rsidRPr="005A6371">
        <w:rPr>
          <w:sz w:val="28"/>
          <w:szCs w:val="28"/>
        </w:rPr>
        <w:t>5</w:t>
      </w:r>
      <w:r w:rsidR="003C5EE5">
        <w:rPr>
          <w:sz w:val="28"/>
          <w:szCs w:val="28"/>
        </w:rPr>
        <w:t xml:space="preserve"> patients </w:t>
      </w:r>
      <w:r w:rsidR="000427E0" w:rsidRPr="005A6371">
        <w:rPr>
          <w:sz w:val="28"/>
          <w:szCs w:val="28"/>
        </w:rPr>
        <w:t>(</w:t>
      </w:r>
      <w:r w:rsidR="00CD3477">
        <w:rPr>
          <w:sz w:val="28"/>
          <w:szCs w:val="28"/>
        </w:rPr>
        <w:t>64.8</w:t>
      </w:r>
      <w:r w:rsidR="001E750D" w:rsidRPr="00CA4B2D">
        <w:rPr>
          <w:sz w:val="28"/>
          <w:szCs w:val="28"/>
        </w:rPr>
        <w:t xml:space="preserve">%) </w:t>
      </w:r>
      <w:r w:rsidR="001E750D">
        <w:rPr>
          <w:sz w:val="28"/>
          <w:szCs w:val="28"/>
        </w:rPr>
        <w:t>were</w:t>
      </w:r>
      <w:r w:rsidR="00CA4B2D" w:rsidRPr="000625AA">
        <w:rPr>
          <w:noProof/>
          <w:sz w:val="28"/>
          <w:szCs w:val="28"/>
        </w:rPr>
        <w:t xml:space="preserve"> diagnosed</w:t>
      </w:r>
      <w:r w:rsidR="00CA4B2D">
        <w:rPr>
          <w:sz w:val="28"/>
          <w:szCs w:val="28"/>
        </w:rPr>
        <w:t xml:space="preserve"> with </w:t>
      </w:r>
      <w:r w:rsidR="000427E0" w:rsidRPr="00CA4B2D">
        <w:rPr>
          <w:sz w:val="28"/>
          <w:szCs w:val="28"/>
        </w:rPr>
        <w:t xml:space="preserve">peripheral precocious </w:t>
      </w:r>
      <w:r w:rsidR="000427E0" w:rsidRPr="00E71DE7">
        <w:rPr>
          <w:noProof/>
          <w:sz w:val="28"/>
          <w:szCs w:val="28"/>
        </w:rPr>
        <w:t>puberty</w:t>
      </w:r>
      <w:r w:rsidR="00CA4B2D" w:rsidRPr="000625AA">
        <w:rPr>
          <w:noProof/>
          <w:sz w:val="28"/>
          <w:szCs w:val="28"/>
        </w:rPr>
        <w:t>.M</w:t>
      </w:r>
      <w:r w:rsidR="000427E0" w:rsidRPr="000625AA">
        <w:rPr>
          <w:noProof/>
          <w:sz w:val="28"/>
          <w:szCs w:val="28"/>
        </w:rPr>
        <w:t>ost</w:t>
      </w:r>
      <w:r w:rsidR="000427E0" w:rsidRPr="00CA4B2D">
        <w:rPr>
          <w:sz w:val="28"/>
          <w:szCs w:val="28"/>
        </w:rPr>
        <w:t xml:space="preserve"> of them </w:t>
      </w:r>
      <w:r w:rsidR="00CA4B2D" w:rsidRPr="000625AA">
        <w:rPr>
          <w:noProof/>
          <w:sz w:val="28"/>
          <w:szCs w:val="28"/>
        </w:rPr>
        <w:t>were presented</w:t>
      </w:r>
      <w:r w:rsidR="00CA4B2D">
        <w:rPr>
          <w:sz w:val="28"/>
          <w:szCs w:val="28"/>
        </w:rPr>
        <w:t xml:space="preserve"> with </w:t>
      </w:r>
      <w:r w:rsidR="009421FE">
        <w:rPr>
          <w:sz w:val="28"/>
          <w:szCs w:val="28"/>
        </w:rPr>
        <w:t xml:space="preserve">idiopathic </w:t>
      </w:r>
      <w:r w:rsidR="000427E0" w:rsidRPr="00CA4B2D">
        <w:rPr>
          <w:sz w:val="28"/>
          <w:szCs w:val="28"/>
        </w:rPr>
        <w:t xml:space="preserve">premature thelarche </w:t>
      </w:r>
      <w:r w:rsidR="00CA4B2D">
        <w:rPr>
          <w:sz w:val="28"/>
          <w:szCs w:val="28"/>
        </w:rPr>
        <w:t xml:space="preserve">in </w:t>
      </w:r>
      <w:r w:rsidR="000427E0" w:rsidRPr="00CA4B2D">
        <w:rPr>
          <w:sz w:val="28"/>
          <w:szCs w:val="28"/>
        </w:rPr>
        <w:t xml:space="preserve">15 </w:t>
      </w:r>
      <w:r w:rsidR="001E750D">
        <w:rPr>
          <w:sz w:val="28"/>
          <w:szCs w:val="28"/>
        </w:rPr>
        <w:t>patients</w:t>
      </w:r>
      <w:r w:rsidR="001E750D" w:rsidRPr="00CA4B2D">
        <w:rPr>
          <w:sz w:val="28"/>
          <w:szCs w:val="28"/>
        </w:rPr>
        <w:t xml:space="preserve"> (</w:t>
      </w:r>
      <w:r w:rsidR="00CD3477">
        <w:rPr>
          <w:sz w:val="28"/>
          <w:szCs w:val="28"/>
        </w:rPr>
        <w:t>42.8</w:t>
      </w:r>
      <w:r w:rsidR="000427E0" w:rsidRPr="00CA4B2D">
        <w:rPr>
          <w:sz w:val="28"/>
          <w:szCs w:val="28"/>
        </w:rPr>
        <w:t xml:space="preserve">%) followed by congenital adrenal hyperplasia </w:t>
      </w:r>
      <w:r w:rsidR="00CA4B2D">
        <w:rPr>
          <w:sz w:val="28"/>
          <w:szCs w:val="28"/>
        </w:rPr>
        <w:t>in</w:t>
      </w:r>
      <w:r w:rsidR="00E71DE7">
        <w:rPr>
          <w:sz w:val="28"/>
          <w:szCs w:val="28"/>
        </w:rPr>
        <w:t xml:space="preserve"> </w:t>
      </w:r>
      <w:r w:rsidR="000427E0" w:rsidRPr="00CA4B2D">
        <w:rPr>
          <w:sz w:val="28"/>
          <w:szCs w:val="28"/>
        </w:rPr>
        <w:t>10</w:t>
      </w:r>
      <w:r w:rsidR="00CA4B2D">
        <w:rPr>
          <w:sz w:val="28"/>
          <w:szCs w:val="28"/>
        </w:rPr>
        <w:t xml:space="preserve"> patients </w:t>
      </w:r>
      <w:r w:rsidR="000427E0" w:rsidRPr="00CA4B2D">
        <w:rPr>
          <w:sz w:val="28"/>
          <w:szCs w:val="28"/>
        </w:rPr>
        <w:t>(</w:t>
      </w:r>
      <w:r w:rsidR="00CD3477">
        <w:rPr>
          <w:sz w:val="28"/>
          <w:szCs w:val="28"/>
        </w:rPr>
        <w:t>28.5</w:t>
      </w:r>
      <w:r w:rsidR="000427E0" w:rsidRPr="00CA4B2D">
        <w:rPr>
          <w:sz w:val="28"/>
          <w:szCs w:val="28"/>
        </w:rPr>
        <w:t xml:space="preserve">%). </w:t>
      </w:r>
      <w:r w:rsidR="00F813C6" w:rsidRPr="00CA4B2D">
        <w:rPr>
          <w:sz w:val="28"/>
          <w:szCs w:val="28"/>
        </w:rPr>
        <w:t>T</w:t>
      </w:r>
      <w:r w:rsidR="000427E0" w:rsidRPr="00CA4B2D">
        <w:rPr>
          <w:sz w:val="28"/>
          <w:szCs w:val="28"/>
        </w:rPr>
        <w:t xml:space="preserve">hose </w:t>
      </w:r>
      <w:r w:rsidR="000427E0" w:rsidRPr="005A6371">
        <w:rPr>
          <w:sz w:val="28"/>
          <w:szCs w:val="28"/>
        </w:rPr>
        <w:t>who had central precocious puberty 1</w:t>
      </w:r>
      <w:r w:rsidR="00CD3477" w:rsidRPr="005A6371">
        <w:rPr>
          <w:sz w:val="28"/>
          <w:szCs w:val="28"/>
        </w:rPr>
        <w:t>8</w:t>
      </w:r>
      <w:r w:rsidR="000427E0" w:rsidRPr="005A6371">
        <w:rPr>
          <w:sz w:val="28"/>
          <w:szCs w:val="28"/>
        </w:rPr>
        <w:t>(</w:t>
      </w:r>
      <w:r w:rsidR="00CD3477" w:rsidRPr="005A6371">
        <w:rPr>
          <w:sz w:val="28"/>
          <w:szCs w:val="28"/>
        </w:rPr>
        <w:t>33.3</w:t>
      </w:r>
      <w:r w:rsidR="000427E0" w:rsidRPr="005A6371">
        <w:rPr>
          <w:sz w:val="28"/>
          <w:szCs w:val="28"/>
        </w:rPr>
        <w:t>%), 1</w:t>
      </w:r>
      <w:r w:rsidR="00CD3477" w:rsidRPr="005A6371">
        <w:rPr>
          <w:sz w:val="28"/>
          <w:szCs w:val="28"/>
        </w:rPr>
        <w:t>6</w:t>
      </w:r>
      <w:r w:rsidR="000427E0" w:rsidRPr="005A6371">
        <w:rPr>
          <w:sz w:val="28"/>
          <w:szCs w:val="28"/>
        </w:rPr>
        <w:t>(</w:t>
      </w:r>
      <w:r w:rsidR="00CD3477" w:rsidRPr="005A6371">
        <w:rPr>
          <w:sz w:val="28"/>
          <w:szCs w:val="28"/>
        </w:rPr>
        <w:t>88.8</w:t>
      </w:r>
      <w:r w:rsidR="000427E0" w:rsidRPr="005A6371">
        <w:rPr>
          <w:sz w:val="28"/>
          <w:szCs w:val="28"/>
        </w:rPr>
        <w:t>%)</w:t>
      </w:r>
      <w:r w:rsidR="00D857FD" w:rsidRPr="005A6371">
        <w:rPr>
          <w:sz w:val="28"/>
          <w:szCs w:val="28"/>
        </w:rPr>
        <w:t xml:space="preserve"> </w:t>
      </w:r>
      <w:r w:rsidR="00B8538E" w:rsidRPr="005A6371">
        <w:rPr>
          <w:sz w:val="28"/>
          <w:szCs w:val="28"/>
        </w:rPr>
        <w:t>of them</w:t>
      </w:r>
      <w:r w:rsidR="000427E0" w:rsidRPr="005A6371">
        <w:rPr>
          <w:sz w:val="28"/>
          <w:szCs w:val="28"/>
        </w:rPr>
        <w:t xml:space="preserve"> had </w:t>
      </w:r>
      <w:r w:rsidR="00C371AC" w:rsidRPr="005A6371">
        <w:rPr>
          <w:sz w:val="28"/>
          <w:szCs w:val="28"/>
        </w:rPr>
        <w:t xml:space="preserve">central </w:t>
      </w:r>
      <w:r w:rsidR="000427E0" w:rsidRPr="005A6371">
        <w:rPr>
          <w:sz w:val="28"/>
          <w:szCs w:val="28"/>
        </w:rPr>
        <w:t>idiopathic precocious puberty, three (</w:t>
      </w:r>
      <w:r w:rsidR="007D7A8F" w:rsidRPr="005A6371">
        <w:rPr>
          <w:sz w:val="28"/>
          <w:szCs w:val="28"/>
        </w:rPr>
        <w:t>18.8</w:t>
      </w:r>
      <w:r w:rsidR="000427E0" w:rsidRPr="005A6371">
        <w:rPr>
          <w:sz w:val="28"/>
          <w:szCs w:val="28"/>
        </w:rPr>
        <w:t>%)</w:t>
      </w:r>
      <w:r w:rsidR="00910CDD" w:rsidRPr="005A6371">
        <w:rPr>
          <w:sz w:val="28"/>
          <w:szCs w:val="28"/>
        </w:rPr>
        <w:t xml:space="preserve"> </w:t>
      </w:r>
      <w:r w:rsidR="000427E0" w:rsidRPr="005A6371">
        <w:rPr>
          <w:sz w:val="28"/>
          <w:szCs w:val="28"/>
        </w:rPr>
        <w:t>male and 1</w:t>
      </w:r>
      <w:r w:rsidR="007D7A8F" w:rsidRPr="005A6371">
        <w:rPr>
          <w:sz w:val="28"/>
          <w:szCs w:val="28"/>
        </w:rPr>
        <w:t>3</w:t>
      </w:r>
      <w:r w:rsidR="00DE1931">
        <w:rPr>
          <w:sz w:val="28"/>
          <w:szCs w:val="28"/>
        </w:rPr>
        <w:t xml:space="preserve"> patients </w:t>
      </w:r>
      <w:r w:rsidR="000427E0" w:rsidRPr="005A6371">
        <w:rPr>
          <w:sz w:val="28"/>
          <w:szCs w:val="28"/>
        </w:rPr>
        <w:t>(</w:t>
      </w:r>
      <w:r w:rsidR="007D7A8F" w:rsidRPr="005A6371">
        <w:rPr>
          <w:sz w:val="28"/>
          <w:szCs w:val="28"/>
        </w:rPr>
        <w:t>81.2</w:t>
      </w:r>
      <w:r w:rsidR="000427E0" w:rsidRPr="005A6371">
        <w:rPr>
          <w:sz w:val="28"/>
          <w:szCs w:val="28"/>
        </w:rPr>
        <w:t>%) female.</w:t>
      </w:r>
      <w:r w:rsidR="00C371AC" w:rsidRPr="005A6371">
        <w:rPr>
          <w:sz w:val="28"/>
          <w:szCs w:val="28"/>
        </w:rPr>
        <w:t xml:space="preserve"> Two females were found to had brain tumor (astrocytoma and hypothalamic hamartoma</w:t>
      </w:r>
      <w:r w:rsidR="00C371AC">
        <w:rPr>
          <w:sz w:val="28"/>
          <w:szCs w:val="28"/>
        </w:rPr>
        <w:t>).</w:t>
      </w:r>
      <w:r w:rsidR="000427E0" w:rsidRPr="00CA4B2D">
        <w:rPr>
          <w:sz w:val="28"/>
          <w:szCs w:val="28"/>
        </w:rPr>
        <w:t xml:space="preserve"> </w:t>
      </w:r>
      <w:r w:rsidR="00016AD5">
        <w:rPr>
          <w:sz w:val="28"/>
          <w:szCs w:val="28"/>
        </w:rPr>
        <w:t xml:space="preserve">The remaining one case was diagnosed with mixed type of precocious puberty. </w:t>
      </w:r>
      <w:r w:rsidR="000427E0" w:rsidRPr="00CA4B2D">
        <w:rPr>
          <w:sz w:val="28"/>
          <w:szCs w:val="28"/>
        </w:rPr>
        <w:t xml:space="preserve">All </w:t>
      </w:r>
      <w:r w:rsidR="00025A09">
        <w:rPr>
          <w:sz w:val="28"/>
          <w:szCs w:val="28"/>
        </w:rPr>
        <w:t>patients</w:t>
      </w:r>
      <w:r w:rsidR="000427E0" w:rsidRPr="00CA4B2D">
        <w:rPr>
          <w:sz w:val="28"/>
          <w:szCs w:val="28"/>
        </w:rPr>
        <w:t xml:space="preserve"> of central precocious p</w:t>
      </w:r>
      <w:r w:rsidR="005628CC" w:rsidRPr="00CA4B2D">
        <w:rPr>
          <w:sz w:val="28"/>
          <w:szCs w:val="28"/>
        </w:rPr>
        <w:t>uberty received long</w:t>
      </w:r>
      <w:r w:rsidR="00F813C6" w:rsidRPr="00CA4B2D">
        <w:rPr>
          <w:sz w:val="28"/>
          <w:szCs w:val="28"/>
        </w:rPr>
        <w:t>-</w:t>
      </w:r>
      <w:r w:rsidR="005628CC" w:rsidRPr="00CA4B2D">
        <w:rPr>
          <w:sz w:val="28"/>
          <w:szCs w:val="28"/>
        </w:rPr>
        <w:t xml:space="preserve">acting </w:t>
      </w:r>
      <w:r w:rsidR="00E71DE7">
        <w:rPr>
          <w:sz w:val="28"/>
          <w:szCs w:val="28"/>
        </w:rPr>
        <w:t>g</w:t>
      </w:r>
      <w:r w:rsidR="00E71DE7" w:rsidRPr="00CA4B2D">
        <w:rPr>
          <w:sz w:val="28"/>
          <w:szCs w:val="28"/>
        </w:rPr>
        <w:t>onadotropin-releasing hormone analogs</w:t>
      </w:r>
      <w:r w:rsidR="00910CDD">
        <w:rPr>
          <w:sz w:val="28"/>
          <w:szCs w:val="28"/>
        </w:rPr>
        <w:t>.</w:t>
      </w:r>
    </w:p>
    <w:p w:rsidR="00405506" w:rsidRPr="00CA4B2D" w:rsidRDefault="00B11672" w:rsidP="00910CDD">
      <w:pPr>
        <w:pStyle w:val="NoSpacing"/>
        <w:jc w:val="both"/>
        <w:rPr>
          <w:sz w:val="28"/>
          <w:szCs w:val="28"/>
        </w:rPr>
      </w:pPr>
      <w:r w:rsidRPr="00CA4B2D">
        <w:rPr>
          <w:sz w:val="28"/>
          <w:szCs w:val="28"/>
        </w:rPr>
        <w:t>Conclusion</w:t>
      </w:r>
      <w:r w:rsidR="006577E7" w:rsidRPr="00CA4B2D">
        <w:rPr>
          <w:sz w:val="28"/>
          <w:szCs w:val="28"/>
        </w:rPr>
        <w:t>:</w:t>
      </w:r>
      <w:r w:rsidR="00405506" w:rsidRPr="00CA4B2D">
        <w:rPr>
          <w:sz w:val="28"/>
          <w:szCs w:val="28"/>
        </w:rPr>
        <w:t xml:space="preserve"> </w:t>
      </w:r>
      <w:r w:rsidR="001D4144">
        <w:rPr>
          <w:sz w:val="28"/>
          <w:szCs w:val="28"/>
        </w:rPr>
        <w:t>P</w:t>
      </w:r>
      <w:r w:rsidR="00DE2767" w:rsidRPr="00CA4B2D">
        <w:rPr>
          <w:sz w:val="28"/>
          <w:szCs w:val="28"/>
        </w:rPr>
        <w:t>recocious puberty</w:t>
      </w:r>
      <w:r w:rsidR="001D4144">
        <w:rPr>
          <w:sz w:val="28"/>
          <w:szCs w:val="28"/>
        </w:rPr>
        <w:t xml:space="preserve"> is not rare in Basrah.</w:t>
      </w:r>
      <w:r w:rsidR="00910CDD">
        <w:rPr>
          <w:sz w:val="28"/>
          <w:szCs w:val="28"/>
        </w:rPr>
        <w:t xml:space="preserve"> </w:t>
      </w:r>
      <w:r w:rsidR="001D4144">
        <w:rPr>
          <w:sz w:val="28"/>
          <w:szCs w:val="28"/>
        </w:rPr>
        <w:t>Its</w:t>
      </w:r>
      <w:r w:rsidR="008977BF" w:rsidRPr="00CA4B2D">
        <w:rPr>
          <w:sz w:val="28"/>
          <w:szCs w:val="28"/>
        </w:rPr>
        <w:t xml:space="preserve"> more common in </w:t>
      </w:r>
      <w:r w:rsidR="00910CDD" w:rsidRPr="00CA4B2D">
        <w:rPr>
          <w:sz w:val="28"/>
          <w:szCs w:val="28"/>
        </w:rPr>
        <w:t xml:space="preserve">female </w:t>
      </w:r>
      <w:r w:rsidR="00910CDD">
        <w:rPr>
          <w:sz w:val="28"/>
          <w:szCs w:val="28"/>
        </w:rPr>
        <w:t>and</w:t>
      </w:r>
      <w:r w:rsidR="001D4144">
        <w:rPr>
          <w:sz w:val="28"/>
          <w:szCs w:val="28"/>
        </w:rPr>
        <w:t xml:space="preserve"> usually</w:t>
      </w:r>
      <w:r w:rsidR="00820D0C" w:rsidRPr="00CA4B2D">
        <w:rPr>
          <w:sz w:val="28"/>
          <w:szCs w:val="28"/>
        </w:rPr>
        <w:t xml:space="preserve"> </w:t>
      </w:r>
      <w:r w:rsidR="00FE6494" w:rsidRPr="00CA4B2D">
        <w:rPr>
          <w:sz w:val="28"/>
          <w:szCs w:val="28"/>
        </w:rPr>
        <w:t>partial</w:t>
      </w:r>
      <w:r w:rsidR="00513A49" w:rsidRPr="00CA4B2D">
        <w:rPr>
          <w:sz w:val="28"/>
          <w:szCs w:val="28"/>
        </w:rPr>
        <w:t>.</w:t>
      </w:r>
    </w:p>
    <w:p w:rsidR="000904DE" w:rsidRPr="00CA4B2D" w:rsidRDefault="000904DE" w:rsidP="00CA4B2D">
      <w:pPr>
        <w:pStyle w:val="NoSpacing"/>
        <w:rPr>
          <w:sz w:val="28"/>
          <w:szCs w:val="28"/>
        </w:rPr>
      </w:pPr>
    </w:p>
    <w:p w:rsidR="00405506" w:rsidRPr="00CA4B2D" w:rsidRDefault="00B11672" w:rsidP="0093020D">
      <w:pPr>
        <w:pStyle w:val="NoSpacing"/>
        <w:rPr>
          <w:sz w:val="28"/>
          <w:szCs w:val="28"/>
        </w:rPr>
      </w:pPr>
      <w:r w:rsidRPr="00CA4B2D">
        <w:rPr>
          <w:sz w:val="28"/>
          <w:szCs w:val="28"/>
        </w:rPr>
        <w:t>Keywords</w:t>
      </w:r>
      <w:r w:rsidR="006577E7" w:rsidRPr="00CA4B2D">
        <w:rPr>
          <w:sz w:val="28"/>
          <w:szCs w:val="28"/>
        </w:rPr>
        <w:t>:</w:t>
      </w:r>
      <w:r w:rsidR="005526C6" w:rsidRPr="00CA4B2D">
        <w:rPr>
          <w:sz w:val="28"/>
          <w:szCs w:val="28"/>
        </w:rPr>
        <w:t xml:space="preserve"> </w:t>
      </w:r>
      <w:r w:rsidR="00CA4B2D">
        <w:rPr>
          <w:sz w:val="28"/>
          <w:szCs w:val="28"/>
        </w:rPr>
        <w:t>P</w:t>
      </w:r>
      <w:r w:rsidR="005526C6" w:rsidRPr="00CA4B2D">
        <w:rPr>
          <w:sz w:val="28"/>
          <w:szCs w:val="28"/>
        </w:rPr>
        <w:t xml:space="preserve">recocious puberty, central </w:t>
      </w:r>
      <w:r w:rsidR="00CA4B2D">
        <w:rPr>
          <w:sz w:val="28"/>
          <w:szCs w:val="28"/>
        </w:rPr>
        <w:t>p</w:t>
      </w:r>
      <w:r w:rsidR="00CA4B2D" w:rsidRPr="00CA4B2D">
        <w:rPr>
          <w:sz w:val="28"/>
          <w:szCs w:val="28"/>
        </w:rPr>
        <w:t xml:space="preserve">recocious puberty, </w:t>
      </w:r>
      <w:r w:rsidR="00CA4B2D">
        <w:rPr>
          <w:sz w:val="28"/>
          <w:szCs w:val="28"/>
        </w:rPr>
        <w:t xml:space="preserve">peripheral </w:t>
      </w:r>
      <w:r w:rsidR="00CA4B2D" w:rsidRPr="00CA4B2D">
        <w:rPr>
          <w:sz w:val="28"/>
          <w:szCs w:val="28"/>
        </w:rPr>
        <w:t xml:space="preserve">central </w:t>
      </w:r>
      <w:r w:rsidR="00CA4B2D">
        <w:rPr>
          <w:sz w:val="28"/>
          <w:szCs w:val="28"/>
        </w:rPr>
        <w:t>p</w:t>
      </w:r>
      <w:r w:rsidR="00CA4B2D" w:rsidRPr="00CA4B2D">
        <w:rPr>
          <w:sz w:val="28"/>
          <w:szCs w:val="28"/>
        </w:rPr>
        <w:t>recocious puberty,</w:t>
      </w:r>
      <w:r w:rsidR="00CA4B2D">
        <w:rPr>
          <w:sz w:val="28"/>
          <w:szCs w:val="28"/>
        </w:rPr>
        <w:t xml:space="preserve"> </w:t>
      </w:r>
      <w:r w:rsidR="00CA4B2D" w:rsidRPr="00CA4B2D">
        <w:rPr>
          <w:sz w:val="28"/>
          <w:szCs w:val="28"/>
        </w:rPr>
        <w:t>Gonadotropin-releasing hormone analogs</w:t>
      </w:r>
      <w:r w:rsidR="00CA4B2D">
        <w:rPr>
          <w:sz w:val="28"/>
          <w:szCs w:val="28"/>
        </w:rPr>
        <w:t>.</w:t>
      </w:r>
    </w:p>
    <w:p w:rsidR="00405506" w:rsidRPr="00CA4B2D" w:rsidRDefault="00405506" w:rsidP="00CA4B2D">
      <w:pPr>
        <w:pStyle w:val="NoSpacing"/>
        <w:rPr>
          <w:sz w:val="28"/>
          <w:szCs w:val="28"/>
        </w:rPr>
      </w:pPr>
    </w:p>
    <w:p w:rsidR="00405506" w:rsidRPr="00CA4B2D" w:rsidRDefault="00405506" w:rsidP="00CA4B2D">
      <w:pPr>
        <w:pStyle w:val="NoSpacing"/>
        <w:rPr>
          <w:sz w:val="28"/>
          <w:szCs w:val="28"/>
        </w:rPr>
      </w:pPr>
    </w:p>
    <w:p w:rsidR="00405506" w:rsidRPr="00F813C6" w:rsidRDefault="00405506" w:rsidP="00405506">
      <w:pPr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</w:pPr>
    </w:p>
    <w:p w:rsidR="00405506" w:rsidRPr="00F813C6" w:rsidRDefault="00405506">
      <w:pPr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</w:pPr>
    </w:p>
    <w:p w:rsidR="00405506" w:rsidRPr="00F813C6" w:rsidRDefault="00405506">
      <w:pPr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</w:pPr>
    </w:p>
    <w:p w:rsidR="00405506" w:rsidRPr="00F813C6" w:rsidRDefault="00405506">
      <w:pPr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</w:pPr>
    </w:p>
    <w:p w:rsidR="00405506" w:rsidRPr="00F813C6" w:rsidRDefault="00405506">
      <w:pPr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</w:pPr>
    </w:p>
    <w:p w:rsidR="00F41F57" w:rsidRPr="00F813C6" w:rsidRDefault="00F41F5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813C6">
        <w:rPr>
          <w:rFonts w:asciiTheme="minorHAnsi" w:hAnsiTheme="minorHAnsi" w:cstheme="minorHAnsi"/>
          <w:b/>
          <w:bCs/>
          <w:color w:val="000000"/>
          <w:kern w:val="2"/>
          <w:sz w:val="28"/>
          <w:szCs w:val="28"/>
        </w:rPr>
        <w:t xml:space="preserve">   </w:t>
      </w:r>
      <w:bookmarkStart w:id="0" w:name="_GoBack"/>
      <w:bookmarkEnd w:id="0"/>
    </w:p>
    <w:sectPr w:rsidR="00F41F57" w:rsidRPr="00F813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D3" w:rsidRDefault="006B31D3" w:rsidP="006A721A">
      <w:r>
        <w:separator/>
      </w:r>
    </w:p>
  </w:endnote>
  <w:endnote w:type="continuationSeparator" w:id="0">
    <w:p w:rsidR="006B31D3" w:rsidRDefault="006B31D3" w:rsidP="006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D3" w:rsidRDefault="006B31D3" w:rsidP="006A721A">
      <w:r>
        <w:separator/>
      </w:r>
    </w:p>
  </w:footnote>
  <w:footnote w:type="continuationSeparator" w:id="0">
    <w:p w:rsidR="006B31D3" w:rsidRDefault="006B31D3" w:rsidP="006A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DK1MDczNTAwMjNT0lEKTi0uzszPAykwrQUAHLS90iwAAAA="/>
  </w:docVars>
  <w:rsids>
    <w:rsidRoot w:val="00A77393"/>
    <w:rsid w:val="00016AD5"/>
    <w:rsid w:val="00025A09"/>
    <w:rsid w:val="000427E0"/>
    <w:rsid w:val="000625AA"/>
    <w:rsid w:val="00087F33"/>
    <w:rsid w:val="000904DE"/>
    <w:rsid w:val="00096A98"/>
    <w:rsid w:val="000A6B5F"/>
    <w:rsid w:val="000A7BE7"/>
    <w:rsid w:val="00125110"/>
    <w:rsid w:val="00130B0B"/>
    <w:rsid w:val="001D1355"/>
    <w:rsid w:val="001D4144"/>
    <w:rsid w:val="001E3B5C"/>
    <w:rsid w:val="001E750D"/>
    <w:rsid w:val="001F4C6B"/>
    <w:rsid w:val="0022745B"/>
    <w:rsid w:val="002C26C5"/>
    <w:rsid w:val="00394A92"/>
    <w:rsid w:val="003B381A"/>
    <w:rsid w:val="003C5EE5"/>
    <w:rsid w:val="00404479"/>
    <w:rsid w:val="00405506"/>
    <w:rsid w:val="00433375"/>
    <w:rsid w:val="0049225C"/>
    <w:rsid w:val="00513A49"/>
    <w:rsid w:val="005526C6"/>
    <w:rsid w:val="005628CC"/>
    <w:rsid w:val="005A6371"/>
    <w:rsid w:val="005B1FF2"/>
    <w:rsid w:val="005F279F"/>
    <w:rsid w:val="00610A4A"/>
    <w:rsid w:val="00643FF6"/>
    <w:rsid w:val="006525B6"/>
    <w:rsid w:val="006577E7"/>
    <w:rsid w:val="006735C5"/>
    <w:rsid w:val="006A721A"/>
    <w:rsid w:val="006B13A2"/>
    <w:rsid w:val="006B28FB"/>
    <w:rsid w:val="006B31D3"/>
    <w:rsid w:val="006E1338"/>
    <w:rsid w:val="006E3D95"/>
    <w:rsid w:val="007438F9"/>
    <w:rsid w:val="0077314A"/>
    <w:rsid w:val="007B52D3"/>
    <w:rsid w:val="007C74B8"/>
    <w:rsid w:val="007D052A"/>
    <w:rsid w:val="007D1FD1"/>
    <w:rsid w:val="007D7A8F"/>
    <w:rsid w:val="007F73C1"/>
    <w:rsid w:val="008009B1"/>
    <w:rsid w:val="008075E6"/>
    <w:rsid w:val="00814A1C"/>
    <w:rsid w:val="00820D0C"/>
    <w:rsid w:val="008524F8"/>
    <w:rsid w:val="0085535D"/>
    <w:rsid w:val="008626EE"/>
    <w:rsid w:val="00874A4B"/>
    <w:rsid w:val="008977BF"/>
    <w:rsid w:val="008A6044"/>
    <w:rsid w:val="008D65E7"/>
    <w:rsid w:val="00910CDD"/>
    <w:rsid w:val="00912738"/>
    <w:rsid w:val="0093020D"/>
    <w:rsid w:val="00930D60"/>
    <w:rsid w:val="00937758"/>
    <w:rsid w:val="009421FE"/>
    <w:rsid w:val="0098013C"/>
    <w:rsid w:val="00986CB5"/>
    <w:rsid w:val="009F1CE9"/>
    <w:rsid w:val="00A34B3D"/>
    <w:rsid w:val="00A67A61"/>
    <w:rsid w:val="00A77393"/>
    <w:rsid w:val="00A97F37"/>
    <w:rsid w:val="00AE0671"/>
    <w:rsid w:val="00AE22A9"/>
    <w:rsid w:val="00AE2C7F"/>
    <w:rsid w:val="00AF7F3F"/>
    <w:rsid w:val="00B11672"/>
    <w:rsid w:val="00B8538E"/>
    <w:rsid w:val="00BB299E"/>
    <w:rsid w:val="00C371AC"/>
    <w:rsid w:val="00C674EB"/>
    <w:rsid w:val="00C86BCE"/>
    <w:rsid w:val="00C96A5A"/>
    <w:rsid w:val="00CA28ED"/>
    <w:rsid w:val="00CA4B2D"/>
    <w:rsid w:val="00CD3477"/>
    <w:rsid w:val="00CE3DDE"/>
    <w:rsid w:val="00CF47DE"/>
    <w:rsid w:val="00D06A7F"/>
    <w:rsid w:val="00D0704A"/>
    <w:rsid w:val="00D152E5"/>
    <w:rsid w:val="00D479B0"/>
    <w:rsid w:val="00D8180E"/>
    <w:rsid w:val="00D857FD"/>
    <w:rsid w:val="00D859F2"/>
    <w:rsid w:val="00D95031"/>
    <w:rsid w:val="00DE1931"/>
    <w:rsid w:val="00DE2767"/>
    <w:rsid w:val="00E110C4"/>
    <w:rsid w:val="00E719AA"/>
    <w:rsid w:val="00E71DE7"/>
    <w:rsid w:val="00E732B2"/>
    <w:rsid w:val="00EE3545"/>
    <w:rsid w:val="00EF4F06"/>
    <w:rsid w:val="00F41F57"/>
    <w:rsid w:val="00F53D4C"/>
    <w:rsid w:val="00F5609E"/>
    <w:rsid w:val="00F813C6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9BBB-F2F5-46D0-B538-5D77C13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E1338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paragraph" w:styleId="Header">
    <w:name w:val="header"/>
    <w:basedOn w:val="Normal"/>
    <w:link w:val="Head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55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0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35C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8013C"/>
    <w:pPr>
      <w:spacing w:after="0" w:line="240" w:lineRule="auto"/>
    </w:pPr>
    <w:rPr>
      <w:rFonts w:eastAsiaTheme="minorEastAsia"/>
      <w:lang w:val="en-US"/>
    </w:rPr>
  </w:style>
  <w:style w:type="character" w:customStyle="1" w:styleId="apple-converted-space">
    <w:name w:val="apple-converted-space"/>
    <w:basedOn w:val="DefaultParagraphFont"/>
    <w:rsid w:val="00F813C6"/>
  </w:style>
  <w:style w:type="character" w:customStyle="1" w:styleId="contentline-71">
    <w:name w:val="contentline-71"/>
    <w:basedOn w:val="DefaultParagraphFont"/>
    <w:rsid w:val="00F8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ALI SAHIUNY</cp:lastModifiedBy>
  <cp:revision>81</cp:revision>
  <dcterms:created xsi:type="dcterms:W3CDTF">2018-12-09T12:54:00Z</dcterms:created>
  <dcterms:modified xsi:type="dcterms:W3CDTF">2019-02-05T17:49:00Z</dcterms:modified>
</cp:coreProperties>
</file>